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00"/>
      </w:tblPr>
      <w:tblGrid>
        <w:gridCol w:w="2771"/>
        <w:gridCol w:w="5984"/>
        <w:gridCol w:w="1843"/>
      </w:tblGrid>
      <w:tr w:rsidR="006C2F8B" w:rsidRPr="00222DC1" w:rsidTr="008F3EE0">
        <w:trPr>
          <w:trHeight w:val="571"/>
        </w:trPr>
        <w:tc>
          <w:tcPr>
            <w:tcW w:w="8755" w:type="dxa"/>
            <w:gridSpan w:val="2"/>
            <w:tcBorders>
              <w:top w:val="single" w:sz="4" w:space="0" w:color="auto"/>
              <w:left w:val="single" w:sz="4" w:space="0" w:color="auto"/>
            </w:tcBorders>
            <w:vAlign w:val="center"/>
          </w:tcPr>
          <w:p w:rsidR="006C2F8B" w:rsidRPr="008A546B" w:rsidRDefault="006C2F8B" w:rsidP="00ED0E1F">
            <w:pPr>
              <w:pStyle w:val="Heading1"/>
              <w:rPr>
                <w:i/>
                <w:iCs/>
              </w:rPr>
            </w:pPr>
            <w:r w:rsidRPr="009E5FCA">
              <w:rPr>
                <w:color w:val="0070C0"/>
              </w:rPr>
              <w:t xml:space="preserve">SHARED </w:t>
            </w:r>
            <w:smartTag w:uri="urn:schemas-microsoft-com:office:smarttags" w:element="stockticker">
              <w:r w:rsidRPr="009E5FCA">
                <w:rPr>
                  <w:color w:val="0070C0"/>
                </w:rPr>
                <w:t>CARE</w:t>
              </w:r>
            </w:smartTag>
            <w:r w:rsidRPr="009E5FCA">
              <w:rPr>
                <w:color w:val="0070C0"/>
              </w:rPr>
              <w:t xml:space="preserve"> AGREEMENT</w:t>
            </w:r>
          </w:p>
        </w:tc>
        <w:tc>
          <w:tcPr>
            <w:tcW w:w="1843" w:type="dxa"/>
            <w:vMerge w:val="restart"/>
            <w:tcBorders>
              <w:top w:val="single" w:sz="4" w:space="0" w:color="auto"/>
              <w:right w:val="single" w:sz="4" w:space="0" w:color="auto"/>
            </w:tcBorders>
          </w:tcPr>
          <w:p w:rsidR="006C2F8B" w:rsidRPr="008A546B" w:rsidRDefault="00C70896" w:rsidP="00DD68E7">
            <w:pPr>
              <w:pStyle w:val="BodyText3"/>
              <w:spacing w:before="60"/>
              <w:jc w:val="center"/>
              <w:rPr>
                <w:rFonts w:ascii="Arial" w:hAnsi="Arial" w:cs="Arial"/>
                <w:b w:val="0"/>
                <w:bCs w:val="0"/>
                <w:sz w:val="24"/>
                <w:szCs w:val="24"/>
              </w:rPr>
            </w:pPr>
            <w:r>
              <w:rPr>
                <w:rFonts w:ascii="Arial" w:hAnsi="Arial" w:cs="Arial"/>
                <w:b w:val="0"/>
                <w:bCs w:val="0"/>
                <w:noProof/>
                <w:sz w:val="24"/>
                <w:szCs w:val="24"/>
              </w:rPr>
              <w:drawing>
                <wp:inline distT="0" distB="0" distL="0" distR="0">
                  <wp:extent cx="8953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95350" cy="704850"/>
                          </a:xfrm>
                          <a:prstGeom prst="rect">
                            <a:avLst/>
                          </a:prstGeom>
                          <a:noFill/>
                          <a:ln w="9525">
                            <a:noFill/>
                            <a:miter lim="800000"/>
                            <a:headEnd/>
                            <a:tailEnd/>
                          </a:ln>
                        </pic:spPr>
                      </pic:pic>
                    </a:graphicData>
                  </a:graphic>
                </wp:inline>
              </w:drawing>
            </w:r>
          </w:p>
          <w:p w:rsidR="006C2F8B" w:rsidRPr="008A546B" w:rsidRDefault="006C2F8B" w:rsidP="00DD68E7">
            <w:pPr>
              <w:pStyle w:val="BodyText3"/>
              <w:spacing w:before="60"/>
              <w:jc w:val="center"/>
              <w:rPr>
                <w:rFonts w:ascii="Arial" w:hAnsi="Arial" w:cs="Arial"/>
                <w:b w:val="0"/>
                <w:bCs w:val="0"/>
                <w:sz w:val="24"/>
                <w:szCs w:val="24"/>
              </w:rPr>
            </w:pPr>
          </w:p>
        </w:tc>
      </w:tr>
      <w:tr w:rsidR="006C2F8B" w:rsidRPr="00222DC1" w:rsidTr="008F3EE0">
        <w:trPr>
          <w:trHeight w:val="571"/>
        </w:trPr>
        <w:tc>
          <w:tcPr>
            <w:tcW w:w="2771" w:type="dxa"/>
            <w:tcBorders>
              <w:left w:val="single" w:sz="4" w:space="0" w:color="auto"/>
            </w:tcBorders>
            <w:vAlign w:val="center"/>
          </w:tcPr>
          <w:p w:rsidR="006C2F8B" w:rsidRPr="00ED0E1F" w:rsidRDefault="006C2F8B" w:rsidP="00ED0E1F">
            <w:pPr>
              <w:pStyle w:val="Heading1"/>
            </w:pPr>
            <w:r w:rsidRPr="00ED0E1F">
              <w:t>Name of medicine</w:t>
            </w:r>
          </w:p>
        </w:tc>
        <w:tc>
          <w:tcPr>
            <w:tcW w:w="5984" w:type="dxa"/>
            <w:vAlign w:val="center"/>
          </w:tcPr>
          <w:p w:rsidR="002A7433" w:rsidRPr="000803E0" w:rsidRDefault="000803E0" w:rsidP="00DB712A">
            <w:pPr>
              <w:pStyle w:val="BodyText3"/>
              <w:tabs>
                <w:tab w:val="left" w:pos="3153"/>
              </w:tabs>
              <w:spacing w:before="0"/>
              <w:rPr>
                <w:b w:val="0"/>
                <w:color w:val="C00000"/>
                <w:sz w:val="24"/>
                <w:szCs w:val="24"/>
              </w:rPr>
            </w:pPr>
            <w:r w:rsidRPr="000803E0">
              <w:rPr>
                <w:rFonts w:ascii="Arial" w:hAnsi="Arial" w:cs="Arial"/>
                <w:b w:val="0"/>
                <w:bCs w:val="0"/>
                <w:color w:val="C00000"/>
                <w:sz w:val="28"/>
                <w:szCs w:val="28"/>
              </w:rPr>
              <w:t>Insert here</w:t>
            </w:r>
          </w:p>
        </w:tc>
        <w:tc>
          <w:tcPr>
            <w:tcW w:w="1843" w:type="dxa"/>
            <w:vMerge/>
            <w:tcBorders>
              <w:right w:val="single" w:sz="4" w:space="0" w:color="auto"/>
            </w:tcBorders>
            <w:vAlign w:val="center"/>
          </w:tcPr>
          <w:p w:rsidR="006C2F8B" w:rsidRPr="008A546B" w:rsidRDefault="006C2F8B" w:rsidP="00DD68E7">
            <w:pPr>
              <w:pStyle w:val="BodyText3"/>
              <w:spacing w:before="60"/>
              <w:jc w:val="center"/>
              <w:rPr>
                <w:rFonts w:ascii="Arial" w:hAnsi="Arial" w:cs="Arial"/>
                <w:i w:val="0"/>
                <w:iCs w:val="0"/>
                <w:sz w:val="24"/>
                <w:szCs w:val="24"/>
              </w:rPr>
            </w:pPr>
          </w:p>
        </w:tc>
      </w:tr>
      <w:tr w:rsidR="006C2F8B" w:rsidRPr="00222DC1" w:rsidTr="008F3EE0">
        <w:trPr>
          <w:trHeight w:val="571"/>
        </w:trPr>
        <w:tc>
          <w:tcPr>
            <w:tcW w:w="2771" w:type="dxa"/>
            <w:tcBorders>
              <w:left w:val="single" w:sz="4" w:space="0" w:color="auto"/>
            </w:tcBorders>
          </w:tcPr>
          <w:p w:rsidR="006C2F8B" w:rsidRPr="008A546B" w:rsidRDefault="006C2F8B" w:rsidP="00ED0E1F">
            <w:pPr>
              <w:pStyle w:val="Heading1"/>
              <w:rPr>
                <w:i/>
                <w:iCs/>
              </w:rPr>
            </w:pPr>
            <w:r w:rsidRPr="008A546B">
              <w:t>Indication</w:t>
            </w:r>
          </w:p>
        </w:tc>
        <w:tc>
          <w:tcPr>
            <w:tcW w:w="5984" w:type="dxa"/>
          </w:tcPr>
          <w:p w:rsidR="006C2F8B" w:rsidRPr="00BD6FDF" w:rsidRDefault="000803E0" w:rsidP="00DB712A">
            <w:pPr>
              <w:pStyle w:val="BodyText3"/>
              <w:tabs>
                <w:tab w:val="left" w:pos="3153"/>
              </w:tabs>
              <w:rPr>
                <w:rFonts w:ascii="Arial" w:hAnsi="Arial" w:cs="Arial"/>
                <w:b w:val="0"/>
                <w:color w:val="C00000"/>
                <w:sz w:val="28"/>
                <w:szCs w:val="28"/>
              </w:rPr>
            </w:pPr>
            <w:r w:rsidRPr="00BD6FDF">
              <w:rPr>
                <w:rFonts w:ascii="Arial" w:hAnsi="Arial" w:cs="Arial"/>
                <w:b w:val="0"/>
                <w:color w:val="C00000"/>
                <w:sz w:val="28"/>
                <w:szCs w:val="28"/>
              </w:rPr>
              <w:t>Insert here</w:t>
            </w:r>
          </w:p>
        </w:tc>
        <w:tc>
          <w:tcPr>
            <w:tcW w:w="1843" w:type="dxa"/>
            <w:vMerge/>
            <w:tcBorders>
              <w:right w:val="single" w:sz="4" w:space="0" w:color="auto"/>
            </w:tcBorders>
          </w:tcPr>
          <w:p w:rsidR="006C2F8B" w:rsidRPr="008A546B" w:rsidRDefault="006C2F8B" w:rsidP="00DD68E7">
            <w:pPr>
              <w:pStyle w:val="BodyText3"/>
              <w:spacing w:before="60"/>
              <w:jc w:val="center"/>
              <w:rPr>
                <w:rFonts w:ascii="Arial" w:hAnsi="Arial" w:cs="Arial"/>
                <w:b w:val="0"/>
                <w:bCs w:val="0"/>
                <w:sz w:val="24"/>
                <w:szCs w:val="24"/>
              </w:rPr>
            </w:pPr>
          </w:p>
        </w:tc>
      </w:tr>
      <w:tr w:rsidR="006C2F8B" w:rsidRPr="00222DC1" w:rsidTr="008F3EE0">
        <w:trPr>
          <w:trHeight w:val="571"/>
        </w:trPr>
        <w:tc>
          <w:tcPr>
            <w:tcW w:w="10598" w:type="dxa"/>
            <w:gridSpan w:val="3"/>
            <w:tcBorders>
              <w:left w:val="single" w:sz="4" w:space="0" w:color="auto"/>
              <w:bottom w:val="single" w:sz="4" w:space="0" w:color="auto"/>
              <w:right w:val="single" w:sz="4" w:space="0" w:color="auto"/>
            </w:tcBorders>
            <w:vAlign w:val="center"/>
          </w:tcPr>
          <w:p w:rsidR="006C2F8B" w:rsidRPr="00D22D6B" w:rsidRDefault="006C2F8B" w:rsidP="001015B3">
            <w:pPr>
              <w:pStyle w:val="BodyText3"/>
              <w:spacing w:before="60"/>
              <w:rPr>
                <w:rFonts w:ascii="Arial" w:hAnsi="Arial" w:cs="Arial"/>
                <w:b w:val="0"/>
                <w:bCs w:val="0"/>
                <w:i w:val="0"/>
                <w:iCs w:val="0"/>
                <w:sz w:val="24"/>
                <w:szCs w:val="24"/>
              </w:rPr>
            </w:pPr>
            <w:r w:rsidRPr="00D22D6B">
              <w:rPr>
                <w:rFonts w:ascii="Arial" w:hAnsi="Arial" w:cs="Arial"/>
                <w:b w:val="0"/>
                <w:bCs w:val="0"/>
                <w:i w:val="0"/>
                <w:iCs w:val="0"/>
              </w:rPr>
              <w:t xml:space="preserve">Version:  </w:t>
            </w:r>
            <w:r w:rsidR="000803E0">
              <w:rPr>
                <w:rFonts w:ascii="Arial" w:hAnsi="Arial" w:cs="Arial"/>
                <w:i w:val="0"/>
                <w:iCs w:val="0"/>
                <w:color w:val="C00000"/>
              </w:rPr>
              <w:t>XX</w:t>
            </w:r>
            <w:r w:rsidR="00A20C04" w:rsidRPr="00A2760B">
              <w:rPr>
                <w:rFonts w:ascii="Arial" w:hAnsi="Arial" w:cs="Arial"/>
                <w:i w:val="0"/>
                <w:iCs w:val="0"/>
                <w:color w:val="C00000"/>
              </w:rPr>
              <w:t xml:space="preserve">                       </w:t>
            </w:r>
            <w:r w:rsidR="00DB712A" w:rsidRPr="00A2760B">
              <w:rPr>
                <w:rFonts w:ascii="Arial" w:hAnsi="Arial" w:cs="Arial"/>
                <w:i w:val="0"/>
                <w:iCs w:val="0"/>
                <w:color w:val="C00000"/>
              </w:rPr>
              <w:t xml:space="preserve">      </w:t>
            </w:r>
            <w:r w:rsidRPr="00D22D6B">
              <w:rPr>
                <w:rFonts w:ascii="Arial" w:hAnsi="Arial" w:cs="Arial"/>
                <w:b w:val="0"/>
                <w:bCs w:val="0"/>
                <w:i w:val="0"/>
                <w:iCs w:val="0"/>
              </w:rPr>
              <w:t>Approval date</w:t>
            </w:r>
            <w:r w:rsidR="00DC43F9">
              <w:rPr>
                <w:rFonts w:ascii="Arial" w:hAnsi="Arial" w:cs="Arial"/>
                <w:b w:val="0"/>
                <w:bCs w:val="0"/>
                <w:i w:val="0"/>
                <w:iCs w:val="0"/>
              </w:rPr>
              <w:t xml:space="preserve">:  </w:t>
            </w:r>
            <w:r w:rsidR="00684E96">
              <w:rPr>
                <w:rFonts w:ascii="Arial" w:hAnsi="Arial" w:cs="Arial"/>
                <w:i w:val="0"/>
                <w:iCs w:val="0"/>
              </w:rPr>
              <w:t xml:space="preserve"> </w:t>
            </w:r>
            <w:r w:rsidR="00A2760B" w:rsidRPr="000803E0">
              <w:rPr>
                <w:rFonts w:ascii="Arial" w:hAnsi="Arial" w:cs="Arial"/>
                <w:color w:val="C00000"/>
              </w:rPr>
              <w:t>Month YEAR</w:t>
            </w:r>
            <w:r w:rsidR="00A20C04" w:rsidRPr="00A2760B">
              <w:rPr>
                <w:rFonts w:ascii="Arial" w:hAnsi="Arial" w:cs="Arial"/>
                <w:i w:val="0"/>
                <w:iCs w:val="0"/>
                <w:color w:val="C00000"/>
              </w:rPr>
              <w:t xml:space="preserve">                 </w:t>
            </w:r>
            <w:r w:rsidR="00DB712A" w:rsidRPr="00A2760B">
              <w:rPr>
                <w:rFonts w:ascii="Arial" w:hAnsi="Arial" w:cs="Arial"/>
                <w:i w:val="0"/>
                <w:iCs w:val="0"/>
                <w:color w:val="C00000"/>
              </w:rPr>
              <w:t xml:space="preserve">    </w:t>
            </w:r>
            <w:r w:rsidRPr="00D22D6B">
              <w:rPr>
                <w:rFonts w:ascii="Arial" w:hAnsi="Arial" w:cs="Arial"/>
                <w:b w:val="0"/>
                <w:bCs w:val="0"/>
                <w:i w:val="0"/>
                <w:iCs w:val="0"/>
              </w:rPr>
              <w:t xml:space="preserve">Review date: </w:t>
            </w:r>
            <w:r>
              <w:rPr>
                <w:rFonts w:ascii="Arial" w:hAnsi="Arial" w:cs="Arial"/>
                <w:i w:val="0"/>
                <w:iCs w:val="0"/>
              </w:rPr>
              <w:t xml:space="preserve"> </w:t>
            </w:r>
            <w:r w:rsidR="00A2760B" w:rsidRPr="000803E0">
              <w:rPr>
                <w:rFonts w:ascii="Arial" w:hAnsi="Arial" w:cs="Arial"/>
                <w:color w:val="C00000"/>
              </w:rPr>
              <w:t>Month YEAR</w:t>
            </w:r>
          </w:p>
        </w:tc>
      </w:tr>
    </w:tbl>
    <w:p w:rsidR="006C2F8B" w:rsidRPr="001F35CD" w:rsidRDefault="006C2F8B" w:rsidP="001641E1">
      <w:pPr>
        <w:rPr>
          <w:sz w:val="10"/>
          <w:szCs w:val="10"/>
        </w:rPr>
      </w:pPr>
    </w:p>
    <w:p w:rsidR="00C645FB" w:rsidRDefault="006C2F8B" w:rsidP="00CB0A16">
      <w:r>
        <w:t>The</w:t>
      </w:r>
      <w:r w:rsidRPr="00CD54DB">
        <w:t xml:space="preserve"> Shared Care Agreement (SCA) is intended to </w:t>
      </w:r>
      <w:r>
        <w:t>facilitate the accessibility and safe prescribing of complex treatments</w:t>
      </w:r>
      <w:r w:rsidRPr="00CD54DB">
        <w:t xml:space="preserve"> across the secondary/primary care interface. It does not contain all of the relevant product information, which should be sought using the current British National Formulary and manufacturer’s Summary of Product Characteristics. The SCA must be used in conjunction with the NHS Lothian Procedure for the Shared Care of Medicines</w:t>
      </w:r>
      <w:r w:rsidR="002970C2">
        <w:t xml:space="preserve">, available </w:t>
      </w:r>
      <w:hyperlink r:id="rId12" w:anchor="tab3" w:history="1">
        <w:r w:rsidR="002970C2" w:rsidRPr="00036277">
          <w:rPr>
            <w:rStyle w:val="Hyperlink"/>
            <w:rFonts w:cs="Arial"/>
            <w:color w:val="0070C0"/>
          </w:rPr>
          <w:t>here</w:t>
        </w:r>
      </w:hyperlink>
      <w:r w:rsidR="002970C2">
        <w:t xml:space="preserve">. </w:t>
      </w:r>
    </w:p>
    <w:p w:rsidR="00CB0A16" w:rsidRPr="001F35CD" w:rsidRDefault="00CB0A16" w:rsidP="00222DC1">
      <w:pPr>
        <w:pStyle w:val="Footer"/>
        <w:jc w:val="both"/>
        <w:rPr>
          <w:sz w:val="10"/>
          <w:szCs w:val="10"/>
        </w:rPr>
      </w:pPr>
    </w:p>
    <w:tbl>
      <w:tblPr>
        <w:tblStyle w:val="TableGrid"/>
        <w:tblW w:w="10598" w:type="dxa"/>
        <w:tblLook w:val="04A0"/>
      </w:tblPr>
      <w:tblGrid>
        <w:gridCol w:w="10598"/>
      </w:tblGrid>
      <w:tr w:rsidR="003A69A1" w:rsidTr="008F3EE0">
        <w:tc>
          <w:tcPr>
            <w:tcW w:w="10598" w:type="dxa"/>
            <w:shd w:val="clear" w:color="auto" w:fill="D9D9D9" w:themeFill="background1" w:themeFillShade="D9"/>
          </w:tcPr>
          <w:p w:rsidR="003A69A1" w:rsidRPr="00ED0E1F" w:rsidRDefault="003A69A1" w:rsidP="00ED0E1F">
            <w:pPr>
              <w:pStyle w:val="Heading2"/>
              <w:outlineLvl w:val="1"/>
            </w:pPr>
            <w:r w:rsidRPr="00ED0E1F">
              <w:t xml:space="preserve">Roles and responsibilities </w:t>
            </w:r>
          </w:p>
        </w:tc>
      </w:tr>
      <w:tr w:rsidR="003A69A1" w:rsidTr="008F3EE0">
        <w:tc>
          <w:tcPr>
            <w:tcW w:w="10598" w:type="dxa"/>
          </w:tcPr>
          <w:p w:rsidR="003A69A1" w:rsidRPr="00E3020A" w:rsidRDefault="003A69A1" w:rsidP="00036277">
            <w:pPr>
              <w:spacing w:before="0"/>
            </w:pPr>
            <w:r w:rsidRPr="00E3020A">
              <w:t>Listed below are specific responsibilities that are additional to those included in the NHS Lothian Policy and Procedures for Shared Care. Please refer to the policy for core roles and responsibilities that apply to all Shared Care Agreements.</w:t>
            </w:r>
          </w:p>
          <w:p w:rsidR="003A69A1" w:rsidRPr="00E3020A" w:rsidRDefault="003A69A1" w:rsidP="00036277">
            <w:pPr>
              <w:spacing w:before="0"/>
              <w:rPr>
                <w:i/>
                <w:iCs/>
                <w:sz w:val="10"/>
                <w:szCs w:val="10"/>
              </w:rPr>
            </w:pPr>
          </w:p>
          <w:p w:rsidR="003A69A1" w:rsidRPr="00E3020A" w:rsidRDefault="002A7433" w:rsidP="00036277">
            <w:pPr>
              <w:pStyle w:val="Heading3"/>
              <w:spacing w:before="0"/>
              <w:outlineLvl w:val="2"/>
            </w:pPr>
            <w:r w:rsidRPr="00E3020A">
              <w:t>Consultant</w:t>
            </w:r>
          </w:p>
          <w:p w:rsidR="008A5917" w:rsidRDefault="008A5917" w:rsidP="008A5917">
            <w:pPr>
              <w:pStyle w:val="Default"/>
            </w:pPr>
          </w:p>
          <w:tbl>
            <w:tblPr>
              <w:tblW w:w="0" w:type="auto"/>
              <w:tblBorders>
                <w:top w:val="nil"/>
                <w:left w:val="nil"/>
                <w:bottom w:val="nil"/>
                <w:right w:val="nil"/>
              </w:tblBorders>
              <w:tblLook w:val="0000"/>
            </w:tblPr>
            <w:tblGrid>
              <w:gridCol w:w="10382"/>
            </w:tblGrid>
            <w:tr w:rsidR="008A5917">
              <w:trPr>
                <w:trHeight w:val="491"/>
              </w:trPr>
              <w:tc>
                <w:tcPr>
                  <w:tcW w:w="0" w:type="auto"/>
                </w:tcPr>
                <w:p w:rsidR="008A5917" w:rsidRDefault="008A5917" w:rsidP="008A5917">
                  <w:pPr>
                    <w:pStyle w:val="Default"/>
                    <w:rPr>
                      <w:color w:val="FF0000"/>
                      <w:sz w:val="20"/>
                      <w:szCs w:val="20"/>
                    </w:rPr>
                  </w:pPr>
                  <w:r>
                    <w:rPr>
                      <w:i/>
                      <w:iCs/>
                      <w:color w:val="FF0000"/>
                      <w:sz w:val="20"/>
                      <w:szCs w:val="20"/>
                    </w:rPr>
                    <w:t xml:space="preserve">Please give specific information where this will be helpful to the primary care prescribers, e.g. </w:t>
                  </w:r>
                </w:p>
                <w:p w:rsidR="008A5917" w:rsidRDefault="008A5917" w:rsidP="008A5917">
                  <w:pPr>
                    <w:pStyle w:val="Default"/>
                    <w:rPr>
                      <w:sz w:val="20"/>
                      <w:szCs w:val="20"/>
                    </w:rPr>
                  </w:pPr>
                  <w:r>
                    <w:rPr>
                      <w:i/>
                      <w:iCs/>
                      <w:color w:val="FF0000"/>
                      <w:sz w:val="20"/>
                      <w:szCs w:val="20"/>
                    </w:rPr>
                    <w:t>Initiation of therapy with ‘drug x’ over a one</w:t>
                  </w:r>
                  <w:r w:rsidR="009E681D">
                    <w:rPr>
                      <w:i/>
                      <w:iCs/>
                      <w:color w:val="FF0000"/>
                      <w:sz w:val="20"/>
                      <w:szCs w:val="20"/>
                    </w:rPr>
                    <w:t>-</w:t>
                  </w:r>
                  <w:r>
                    <w:rPr>
                      <w:i/>
                      <w:iCs/>
                      <w:color w:val="FF0000"/>
                      <w:sz w:val="20"/>
                      <w:szCs w:val="20"/>
                    </w:rPr>
                    <w:t xml:space="preserve">month period, then supply of the medicine for one further month once the patient’s treatment is stable </w:t>
                  </w:r>
                </w:p>
                <w:p w:rsidR="008A5917" w:rsidRDefault="008A5917" w:rsidP="008A5917">
                  <w:pPr>
                    <w:pStyle w:val="Default"/>
                    <w:rPr>
                      <w:sz w:val="20"/>
                      <w:szCs w:val="20"/>
                    </w:rPr>
                  </w:pPr>
                  <w:r>
                    <w:rPr>
                      <w:i/>
                      <w:iCs/>
                      <w:color w:val="FF0000"/>
                      <w:sz w:val="20"/>
                      <w:szCs w:val="20"/>
                    </w:rPr>
                    <w:t xml:space="preserve">Patient monitoring – 3 monthly for the first 12 months, then 6 monthly in the longer term </w:t>
                  </w:r>
                </w:p>
                <w:p w:rsidR="008A5917" w:rsidRDefault="008A5917" w:rsidP="008A5917">
                  <w:pPr>
                    <w:pStyle w:val="Default"/>
                    <w:rPr>
                      <w:sz w:val="20"/>
                      <w:szCs w:val="20"/>
                    </w:rPr>
                  </w:pPr>
                </w:p>
              </w:tc>
            </w:tr>
          </w:tbl>
          <w:p w:rsidR="002A7433" w:rsidRPr="00E3020A" w:rsidRDefault="002A7433" w:rsidP="00036277">
            <w:pPr>
              <w:pStyle w:val="ListParagraph"/>
              <w:numPr>
                <w:ilvl w:val="0"/>
                <w:numId w:val="28"/>
              </w:numPr>
              <w:autoSpaceDE w:val="0"/>
              <w:autoSpaceDN w:val="0"/>
              <w:adjustRightInd w:val="0"/>
              <w:spacing w:before="0"/>
              <w:ind w:left="284" w:hanging="284"/>
              <w:rPr>
                <w:szCs w:val="20"/>
                <w:lang w:val="en-US"/>
              </w:rPr>
            </w:pPr>
          </w:p>
          <w:p w:rsidR="003A69A1" w:rsidRDefault="003A69A1" w:rsidP="00036277">
            <w:pPr>
              <w:spacing w:before="0"/>
              <w:rPr>
                <w:sz w:val="10"/>
                <w:szCs w:val="10"/>
              </w:rPr>
            </w:pPr>
          </w:p>
          <w:p w:rsidR="00900722" w:rsidRPr="00BD6FDF" w:rsidRDefault="002970C2" w:rsidP="00900722">
            <w:pPr>
              <w:pStyle w:val="NoSpacing"/>
              <w:rPr>
                <w:rFonts w:asciiTheme="minorHAnsi" w:eastAsia="Calibri" w:hAnsiTheme="minorHAnsi" w:cstheme="minorHAnsi"/>
                <w:b/>
                <w:bCs/>
              </w:rPr>
            </w:pPr>
            <w:r w:rsidRPr="00BD6FDF">
              <w:rPr>
                <w:b/>
                <w:bCs/>
              </w:rPr>
              <w:t>General Practitioner</w:t>
            </w:r>
            <w:r w:rsidR="00BD6FDF" w:rsidRPr="00BD6FDF">
              <w:rPr>
                <w:b/>
                <w:bCs/>
                <w:color w:val="000000"/>
              </w:rPr>
              <w:t>s and primary care non-medical prescribers</w:t>
            </w:r>
          </w:p>
          <w:p w:rsidR="002970C2" w:rsidRPr="00E3020A" w:rsidRDefault="002970C2" w:rsidP="00036277">
            <w:pPr>
              <w:pStyle w:val="Heading3"/>
              <w:spacing w:before="0"/>
              <w:outlineLvl w:val="2"/>
            </w:pPr>
          </w:p>
          <w:p w:rsidR="002970C2" w:rsidRPr="002970C2" w:rsidRDefault="002970C2" w:rsidP="00036277">
            <w:pPr>
              <w:pStyle w:val="ListParagraph"/>
              <w:numPr>
                <w:ilvl w:val="0"/>
                <w:numId w:val="28"/>
              </w:numPr>
              <w:autoSpaceDE w:val="0"/>
              <w:autoSpaceDN w:val="0"/>
              <w:adjustRightInd w:val="0"/>
              <w:spacing w:before="0"/>
              <w:ind w:left="284" w:hanging="284"/>
              <w:rPr>
                <w:szCs w:val="20"/>
                <w:lang w:val="en-US"/>
              </w:rPr>
            </w:pPr>
          </w:p>
          <w:p w:rsidR="003A69A1" w:rsidRPr="00E3020A" w:rsidRDefault="003A69A1" w:rsidP="00036277">
            <w:pPr>
              <w:pStyle w:val="ListParagraph"/>
              <w:numPr>
                <w:ilvl w:val="0"/>
                <w:numId w:val="0"/>
              </w:numPr>
              <w:spacing w:before="0"/>
              <w:ind w:left="284"/>
              <w:rPr>
                <w:sz w:val="10"/>
                <w:szCs w:val="10"/>
              </w:rPr>
            </w:pPr>
          </w:p>
          <w:p w:rsidR="003A69A1" w:rsidRPr="00E3020A" w:rsidRDefault="003A69A1" w:rsidP="00036277">
            <w:pPr>
              <w:pStyle w:val="Heading3"/>
              <w:spacing w:before="0"/>
              <w:outlineLvl w:val="2"/>
            </w:pPr>
            <w:r w:rsidRPr="00E3020A">
              <w:t xml:space="preserve">Patient, </w:t>
            </w:r>
            <w:r w:rsidR="005C2BC0" w:rsidRPr="00E3020A">
              <w:t>r</w:t>
            </w:r>
            <w:r w:rsidRPr="00E3020A">
              <w:t xml:space="preserve">elatives, </w:t>
            </w:r>
            <w:r w:rsidR="005C2BC0" w:rsidRPr="00E3020A">
              <w:t>c</w:t>
            </w:r>
            <w:r w:rsidRPr="00E3020A">
              <w:t>arers</w:t>
            </w:r>
          </w:p>
          <w:p w:rsidR="008A5917" w:rsidRDefault="008A5917" w:rsidP="008A5917">
            <w:pPr>
              <w:pStyle w:val="Default"/>
            </w:pPr>
          </w:p>
          <w:tbl>
            <w:tblPr>
              <w:tblW w:w="0" w:type="auto"/>
              <w:tblBorders>
                <w:top w:val="nil"/>
                <w:left w:val="nil"/>
                <w:bottom w:val="nil"/>
                <w:right w:val="nil"/>
              </w:tblBorders>
              <w:tblLook w:val="0000"/>
            </w:tblPr>
            <w:tblGrid>
              <w:gridCol w:w="10382"/>
            </w:tblGrid>
            <w:tr w:rsidR="008A5917">
              <w:trPr>
                <w:trHeight w:val="323"/>
              </w:trPr>
              <w:tc>
                <w:tcPr>
                  <w:tcW w:w="0" w:type="auto"/>
                </w:tcPr>
                <w:p w:rsidR="008A5917" w:rsidRDefault="008A5917" w:rsidP="008A5917">
                  <w:pPr>
                    <w:pStyle w:val="Default"/>
                    <w:rPr>
                      <w:sz w:val="20"/>
                      <w:szCs w:val="20"/>
                    </w:rPr>
                  </w:pPr>
                  <w:r>
                    <w:t xml:space="preserve"> </w:t>
                  </w:r>
                  <w:r>
                    <w:rPr>
                      <w:i/>
                      <w:iCs/>
                      <w:color w:val="FF0000"/>
                      <w:sz w:val="20"/>
                      <w:szCs w:val="20"/>
                    </w:rPr>
                    <w:t xml:space="preserve">If there are no specific responsibilities that are additional to those included in the NHS Lothian Policy and Procedures for Shared Care, please include the statement ‘As listed in NHS Lothian Policy and Procedures for the Shared Care of Medicines’ </w:t>
                  </w:r>
                </w:p>
              </w:tc>
            </w:tr>
          </w:tbl>
          <w:p w:rsidR="00B26BC6" w:rsidRPr="00E3020A" w:rsidRDefault="00B26BC6" w:rsidP="002970C2">
            <w:pPr>
              <w:pStyle w:val="ListParagraph"/>
              <w:numPr>
                <w:ilvl w:val="0"/>
                <w:numId w:val="36"/>
              </w:numPr>
              <w:ind w:left="284" w:hanging="284"/>
            </w:pPr>
          </w:p>
        </w:tc>
      </w:tr>
    </w:tbl>
    <w:p w:rsidR="008F3EE0" w:rsidRDefault="008F3EE0" w:rsidP="00222DC1">
      <w:pPr>
        <w:pStyle w:val="Footer"/>
        <w:jc w:val="both"/>
        <w:rPr>
          <w:sz w:val="19"/>
          <w:szCs w:val="19"/>
        </w:rPr>
      </w:pPr>
    </w:p>
    <w:tbl>
      <w:tblPr>
        <w:tblStyle w:val="TableGrid"/>
        <w:tblW w:w="10592" w:type="dxa"/>
        <w:tblLook w:val="04A0"/>
      </w:tblPr>
      <w:tblGrid>
        <w:gridCol w:w="10592"/>
      </w:tblGrid>
      <w:tr w:rsidR="003A69A1" w:rsidTr="00E24A3B">
        <w:trPr>
          <w:trHeight w:val="251"/>
        </w:trPr>
        <w:tc>
          <w:tcPr>
            <w:tcW w:w="10592" w:type="dxa"/>
            <w:shd w:val="clear" w:color="auto" w:fill="D9D9D9" w:themeFill="background1" w:themeFillShade="D9"/>
          </w:tcPr>
          <w:p w:rsidR="003A69A1" w:rsidRPr="003A69A1" w:rsidRDefault="003A69A1" w:rsidP="00ED0E1F">
            <w:pPr>
              <w:pStyle w:val="Heading2"/>
              <w:outlineLvl w:val="1"/>
            </w:pPr>
            <w:r w:rsidRPr="003A69A1">
              <w:t>Support and Advice for the GP</w:t>
            </w:r>
            <w:r w:rsidR="008A5917" w:rsidRPr="00900722">
              <w:rPr>
                <w:rFonts w:eastAsia="Calibri" w:cstheme="minorHAnsi"/>
                <w:b w:val="0"/>
                <w:bCs/>
                <w:sz w:val="20"/>
                <w:szCs w:val="20"/>
              </w:rPr>
              <w:t xml:space="preserve"> </w:t>
            </w:r>
            <w:r w:rsidR="008A5917" w:rsidRPr="008A5917">
              <w:rPr>
                <w:rFonts w:eastAsia="Calibri" w:cstheme="minorHAnsi"/>
                <w:sz w:val="20"/>
                <w:szCs w:val="20"/>
              </w:rPr>
              <w:t>and primary care non-medical prescribers</w:t>
            </w:r>
          </w:p>
        </w:tc>
      </w:tr>
      <w:tr w:rsidR="003A69A1" w:rsidTr="00036277">
        <w:trPr>
          <w:trHeight w:val="1165"/>
        </w:trPr>
        <w:tc>
          <w:tcPr>
            <w:tcW w:w="10592" w:type="dxa"/>
          </w:tcPr>
          <w:p w:rsidR="008A5917" w:rsidRDefault="008A5917" w:rsidP="008A5917">
            <w:pPr>
              <w:pStyle w:val="Default"/>
            </w:pPr>
          </w:p>
          <w:tbl>
            <w:tblPr>
              <w:tblW w:w="0" w:type="auto"/>
              <w:tblBorders>
                <w:top w:val="nil"/>
                <w:left w:val="nil"/>
                <w:bottom w:val="nil"/>
                <w:right w:val="nil"/>
              </w:tblBorders>
              <w:tblLook w:val="0000"/>
            </w:tblPr>
            <w:tblGrid>
              <w:gridCol w:w="5609"/>
            </w:tblGrid>
            <w:tr w:rsidR="008A5917">
              <w:trPr>
                <w:trHeight w:val="93"/>
              </w:trPr>
              <w:tc>
                <w:tcPr>
                  <w:tcW w:w="0" w:type="auto"/>
                </w:tcPr>
                <w:p w:rsidR="008A5917" w:rsidRDefault="008A5917" w:rsidP="008A5917">
                  <w:pPr>
                    <w:pStyle w:val="Default"/>
                    <w:rPr>
                      <w:sz w:val="20"/>
                      <w:szCs w:val="20"/>
                    </w:rPr>
                  </w:pPr>
                  <w:r>
                    <w:rPr>
                      <w:i/>
                      <w:iCs/>
                      <w:color w:val="FF0000"/>
                      <w:sz w:val="20"/>
                      <w:szCs w:val="20"/>
                    </w:rPr>
                    <w:t xml:space="preserve">e.g. Contact points, telephone numbers, supportive guidance </w:t>
                  </w:r>
                </w:p>
              </w:tc>
            </w:tr>
          </w:tbl>
          <w:p w:rsidR="003A69A1" w:rsidRPr="00B26BC6" w:rsidRDefault="003A69A1" w:rsidP="002970C2">
            <w:pPr>
              <w:pStyle w:val="ListParagraph"/>
              <w:numPr>
                <w:ilvl w:val="0"/>
                <w:numId w:val="0"/>
              </w:numPr>
              <w:autoSpaceDE w:val="0"/>
              <w:autoSpaceDN w:val="0"/>
              <w:adjustRightInd w:val="0"/>
              <w:spacing w:before="0"/>
              <w:ind w:left="720"/>
              <w:contextualSpacing/>
              <w:rPr>
                <w:szCs w:val="20"/>
                <w:lang w:val="en-US"/>
              </w:rPr>
            </w:pPr>
          </w:p>
        </w:tc>
      </w:tr>
    </w:tbl>
    <w:p w:rsidR="007E5422" w:rsidRPr="00A73FD8" w:rsidRDefault="007E5422" w:rsidP="00222DC1">
      <w:pPr>
        <w:pStyle w:val="Footer"/>
        <w:jc w:val="both"/>
        <w:rPr>
          <w:color w:val="000000"/>
          <w:sz w:val="19"/>
          <w:szCs w:val="19"/>
        </w:rPr>
      </w:pPr>
    </w:p>
    <w:tbl>
      <w:tblPr>
        <w:tblStyle w:val="TableGrid"/>
        <w:tblW w:w="10598" w:type="dxa"/>
        <w:tblLayout w:type="fixed"/>
        <w:tblLook w:val="04A0"/>
      </w:tblPr>
      <w:tblGrid>
        <w:gridCol w:w="10598"/>
      </w:tblGrid>
      <w:tr w:rsidR="003A69A1" w:rsidTr="00E24A3B">
        <w:tc>
          <w:tcPr>
            <w:tcW w:w="10598" w:type="dxa"/>
            <w:shd w:val="clear" w:color="auto" w:fill="D9D9D9" w:themeFill="background1" w:themeFillShade="D9"/>
          </w:tcPr>
          <w:p w:rsidR="003A69A1" w:rsidRPr="003A69A1" w:rsidRDefault="003A69A1" w:rsidP="00ED0E1F">
            <w:pPr>
              <w:pStyle w:val="Heading2"/>
              <w:outlineLvl w:val="1"/>
            </w:pPr>
            <w:r>
              <w:t>Key Information on the Medicine</w:t>
            </w:r>
          </w:p>
        </w:tc>
      </w:tr>
      <w:tr w:rsidR="003A69A1" w:rsidTr="00E24A3B">
        <w:tc>
          <w:tcPr>
            <w:tcW w:w="10598" w:type="dxa"/>
          </w:tcPr>
          <w:p w:rsidR="003A69A1" w:rsidRDefault="00C8729F" w:rsidP="00036277">
            <w:pPr>
              <w:spacing w:before="0"/>
              <w:ind w:right="-1"/>
              <w:jc w:val="both"/>
              <w:rPr>
                <w:color w:val="000000"/>
                <w:szCs w:val="20"/>
              </w:rPr>
            </w:pPr>
            <w:r w:rsidRPr="00E3020A">
              <w:rPr>
                <w:color w:val="000000"/>
                <w:szCs w:val="20"/>
              </w:rPr>
              <w:t>R</w:t>
            </w:r>
            <w:r w:rsidR="003A69A1" w:rsidRPr="00E3020A">
              <w:rPr>
                <w:color w:val="000000"/>
                <w:szCs w:val="20"/>
              </w:rPr>
              <w:t xml:space="preserve">efer to current edition of the British National Formulary (BNF), available at </w:t>
            </w:r>
            <w:hyperlink r:id="rId13" w:history="1">
              <w:r w:rsidR="003A69A1" w:rsidRPr="003629EF">
                <w:rPr>
                  <w:rStyle w:val="Hyperlink"/>
                  <w:rFonts w:cs="Arial"/>
                  <w:color w:val="0070C0"/>
                  <w:szCs w:val="20"/>
                </w:rPr>
                <w:t>www.bnf.org</w:t>
              </w:r>
            </w:hyperlink>
            <w:r w:rsidR="003A69A1" w:rsidRPr="00E3020A">
              <w:rPr>
                <w:color w:val="000000"/>
                <w:szCs w:val="20"/>
              </w:rPr>
              <w:t>, and Summary of Product Characteristics (</w:t>
            </w:r>
            <w:smartTag w:uri="urn:schemas-microsoft-com:office:smarttags" w:element="stockticker">
              <w:r w:rsidR="003A69A1" w:rsidRPr="00E3020A">
                <w:rPr>
                  <w:color w:val="000000"/>
                  <w:szCs w:val="20"/>
                </w:rPr>
                <w:t>SPC</w:t>
              </w:r>
            </w:smartTag>
            <w:r w:rsidR="003A69A1" w:rsidRPr="00E3020A">
              <w:rPr>
                <w:color w:val="000000"/>
                <w:szCs w:val="20"/>
              </w:rPr>
              <w:t xml:space="preserve">), available at </w:t>
            </w:r>
            <w:hyperlink r:id="rId14" w:history="1">
              <w:r w:rsidR="003A69A1" w:rsidRPr="003629EF">
                <w:rPr>
                  <w:rStyle w:val="Hyperlink"/>
                  <w:rFonts w:cs="Arial"/>
                  <w:color w:val="0070C0"/>
                  <w:szCs w:val="20"/>
                </w:rPr>
                <w:t>www.medicines.org.uk</w:t>
              </w:r>
            </w:hyperlink>
            <w:r w:rsidR="00513A26" w:rsidRPr="00E3020A">
              <w:t xml:space="preserve"> </w:t>
            </w:r>
            <w:r w:rsidR="003A69A1" w:rsidRPr="00E3020A">
              <w:rPr>
                <w:color w:val="000000"/>
                <w:szCs w:val="20"/>
              </w:rPr>
              <w:t>for detailed product and prescribing information and specific guidance.</w:t>
            </w:r>
          </w:p>
          <w:p w:rsidR="003629EF" w:rsidRPr="00E3020A" w:rsidRDefault="003629EF" w:rsidP="00036277">
            <w:pPr>
              <w:spacing w:before="0"/>
              <w:ind w:right="-1"/>
              <w:jc w:val="both"/>
              <w:rPr>
                <w:b/>
                <w:bCs/>
                <w:szCs w:val="20"/>
              </w:rPr>
            </w:pPr>
          </w:p>
          <w:p w:rsidR="003A69A1" w:rsidRDefault="003A69A1" w:rsidP="00036277">
            <w:pPr>
              <w:pStyle w:val="Heading3"/>
              <w:spacing w:before="0"/>
              <w:outlineLvl w:val="2"/>
            </w:pPr>
            <w:r w:rsidRPr="00E3020A">
              <w:t>Background to disease and use of drug for the given indication</w:t>
            </w:r>
          </w:p>
          <w:p w:rsidR="00DD4845" w:rsidRDefault="00DD4845" w:rsidP="00DD4845">
            <w:pPr>
              <w:pStyle w:val="Default"/>
            </w:pPr>
          </w:p>
          <w:tbl>
            <w:tblPr>
              <w:tblW w:w="0" w:type="auto"/>
              <w:tblBorders>
                <w:top w:val="nil"/>
                <w:left w:val="nil"/>
                <w:bottom w:val="nil"/>
                <w:right w:val="nil"/>
              </w:tblBorders>
              <w:tblLayout w:type="fixed"/>
              <w:tblLook w:val="0000"/>
            </w:tblPr>
            <w:tblGrid>
              <w:gridCol w:w="2958"/>
            </w:tblGrid>
            <w:tr w:rsidR="00DD4845" w:rsidTr="00BD6FDF">
              <w:trPr>
                <w:trHeight w:val="53"/>
              </w:trPr>
              <w:tc>
                <w:tcPr>
                  <w:tcW w:w="2958" w:type="dxa"/>
                </w:tcPr>
                <w:p w:rsidR="00DD4845" w:rsidRDefault="00DD4845" w:rsidP="00DD4845">
                  <w:pPr>
                    <w:pStyle w:val="Default"/>
                    <w:rPr>
                      <w:color w:val="FF0000"/>
                      <w:sz w:val="20"/>
                      <w:szCs w:val="20"/>
                    </w:rPr>
                  </w:pPr>
                  <w:r>
                    <w:t xml:space="preserve"> </w:t>
                  </w:r>
                  <w:r>
                    <w:rPr>
                      <w:i/>
                      <w:iCs/>
                      <w:color w:val="FF0000"/>
                      <w:sz w:val="20"/>
                      <w:szCs w:val="20"/>
                    </w:rPr>
                    <w:t xml:space="preserve">Brief paragraph </w:t>
                  </w:r>
                </w:p>
              </w:tc>
            </w:tr>
          </w:tbl>
          <w:p w:rsidR="00DD4845" w:rsidRPr="00DD4845" w:rsidRDefault="00DD4845" w:rsidP="00DD4845"/>
          <w:p w:rsidR="00E148FC" w:rsidRDefault="003A69A1" w:rsidP="00036277">
            <w:pPr>
              <w:pStyle w:val="Heading3"/>
              <w:spacing w:before="0"/>
              <w:outlineLvl w:val="2"/>
            </w:pPr>
            <w:r w:rsidRPr="00E3020A">
              <w:t>Indication</w:t>
            </w:r>
          </w:p>
          <w:p w:rsidR="00DD4845" w:rsidRDefault="00DD4845" w:rsidP="00DD4845">
            <w:pPr>
              <w:pStyle w:val="Default"/>
            </w:pPr>
          </w:p>
          <w:tbl>
            <w:tblPr>
              <w:tblW w:w="0" w:type="auto"/>
              <w:tblBorders>
                <w:top w:val="nil"/>
                <w:left w:val="nil"/>
                <w:bottom w:val="nil"/>
                <w:right w:val="nil"/>
              </w:tblBorders>
              <w:tblLayout w:type="fixed"/>
              <w:tblLook w:val="0000"/>
            </w:tblPr>
            <w:tblGrid>
              <w:gridCol w:w="6905"/>
            </w:tblGrid>
            <w:tr w:rsidR="00DD4845" w:rsidTr="000803E0">
              <w:trPr>
                <w:trHeight w:val="76"/>
              </w:trPr>
              <w:tc>
                <w:tcPr>
                  <w:tcW w:w="6905" w:type="dxa"/>
                </w:tcPr>
                <w:p w:rsidR="00DD4845" w:rsidRDefault="00DD4845" w:rsidP="00DD4845">
                  <w:pPr>
                    <w:pStyle w:val="Default"/>
                    <w:rPr>
                      <w:color w:val="FF0000"/>
                      <w:sz w:val="20"/>
                      <w:szCs w:val="20"/>
                    </w:rPr>
                  </w:pPr>
                  <w:r>
                    <w:t xml:space="preserve"> </w:t>
                  </w:r>
                  <w:r>
                    <w:rPr>
                      <w:i/>
                      <w:iCs/>
                      <w:color w:val="FF0000"/>
                      <w:sz w:val="20"/>
                      <w:szCs w:val="20"/>
                    </w:rPr>
                    <w:t>Specific to approved use in NHS Lothian (check formulary status)</w:t>
                  </w:r>
                </w:p>
              </w:tc>
            </w:tr>
          </w:tbl>
          <w:p w:rsidR="00DD4845" w:rsidRDefault="00DD4845" w:rsidP="00DD4845"/>
          <w:p w:rsidR="00DD4845" w:rsidRPr="00DD4845" w:rsidRDefault="00DD4845" w:rsidP="00DD4845"/>
          <w:p w:rsidR="003A69A1" w:rsidRDefault="005C2BC0" w:rsidP="00036277">
            <w:pPr>
              <w:pStyle w:val="Heading3"/>
              <w:spacing w:before="0"/>
              <w:outlineLvl w:val="2"/>
            </w:pPr>
            <w:r w:rsidRPr="00E3020A">
              <w:t>Dosage and a</w:t>
            </w:r>
            <w:r w:rsidR="003A69A1" w:rsidRPr="00E3020A">
              <w:t>dministration</w:t>
            </w:r>
          </w:p>
          <w:p w:rsidR="00036277" w:rsidRPr="00DD4845" w:rsidRDefault="00DD4845" w:rsidP="00DD4845">
            <w:pPr>
              <w:pStyle w:val="Default"/>
              <w:rPr>
                <w:szCs w:val="20"/>
              </w:rPr>
            </w:pPr>
            <w:r>
              <w:rPr>
                <w:i/>
                <w:iCs/>
                <w:color w:val="FF0000"/>
                <w:sz w:val="20"/>
                <w:szCs w:val="20"/>
              </w:rPr>
              <w:t xml:space="preserve">Include only where no SPC is available, i.e. for unlicensed /off-label use, and in line with approved use in NHS Lothian </w:t>
            </w:r>
          </w:p>
          <w:p w:rsidR="00DD4845" w:rsidRPr="00036277" w:rsidRDefault="00DD4845" w:rsidP="00036277"/>
          <w:p w:rsidR="001E3AFA" w:rsidRPr="00036277" w:rsidRDefault="003A69A1" w:rsidP="00036277">
            <w:pPr>
              <w:pStyle w:val="Heading3"/>
              <w:spacing w:before="0"/>
              <w:outlineLvl w:val="2"/>
            </w:pPr>
            <w:r w:rsidRPr="00E3020A">
              <w:t>Monitoring</w:t>
            </w:r>
          </w:p>
          <w:tbl>
            <w:tblPr>
              <w:tblStyle w:val="TableGrid"/>
              <w:tblW w:w="10343" w:type="dxa"/>
              <w:tblLayout w:type="fixed"/>
              <w:tblLook w:val="04A0"/>
            </w:tblPr>
            <w:tblGrid>
              <w:gridCol w:w="1555"/>
              <w:gridCol w:w="1417"/>
              <w:gridCol w:w="1843"/>
              <w:gridCol w:w="5528"/>
            </w:tblGrid>
            <w:tr w:rsidR="009D043C" w:rsidRPr="00E3020A" w:rsidTr="00797DE4">
              <w:tc>
                <w:tcPr>
                  <w:tcW w:w="1555" w:type="dxa"/>
                  <w:shd w:val="pct25" w:color="auto" w:fill="auto"/>
                </w:tcPr>
                <w:p w:rsidR="009D043C" w:rsidRPr="00E3020A" w:rsidRDefault="009D043C" w:rsidP="00036277">
                  <w:pPr>
                    <w:keepNext/>
                    <w:numPr>
                      <w:ilvl w:val="12"/>
                      <w:numId w:val="0"/>
                    </w:numPr>
                    <w:spacing w:before="0"/>
                    <w:ind w:right="-1"/>
                    <w:jc w:val="both"/>
                    <w:outlineLvl w:val="2"/>
                    <w:rPr>
                      <w:b/>
                      <w:szCs w:val="20"/>
                    </w:rPr>
                  </w:pPr>
                  <w:r w:rsidRPr="00E3020A">
                    <w:rPr>
                      <w:b/>
                      <w:szCs w:val="20"/>
                    </w:rPr>
                    <w:t>Test</w:t>
                  </w:r>
                </w:p>
              </w:tc>
              <w:tc>
                <w:tcPr>
                  <w:tcW w:w="1417" w:type="dxa"/>
                  <w:shd w:val="pct25" w:color="auto" w:fill="auto"/>
                </w:tcPr>
                <w:p w:rsidR="009D043C" w:rsidRPr="00E3020A" w:rsidRDefault="009D043C" w:rsidP="00036277">
                  <w:pPr>
                    <w:keepNext/>
                    <w:numPr>
                      <w:ilvl w:val="12"/>
                      <w:numId w:val="0"/>
                    </w:numPr>
                    <w:spacing w:before="0"/>
                    <w:ind w:right="-1"/>
                    <w:jc w:val="both"/>
                    <w:outlineLvl w:val="2"/>
                    <w:rPr>
                      <w:b/>
                      <w:szCs w:val="20"/>
                    </w:rPr>
                  </w:pPr>
                  <w:r w:rsidRPr="00E3020A">
                    <w:rPr>
                      <w:b/>
                      <w:szCs w:val="20"/>
                    </w:rPr>
                    <w:t xml:space="preserve">Frequency </w:t>
                  </w:r>
                </w:p>
              </w:tc>
              <w:tc>
                <w:tcPr>
                  <w:tcW w:w="1843" w:type="dxa"/>
                  <w:shd w:val="pct25" w:color="auto" w:fill="auto"/>
                </w:tcPr>
                <w:p w:rsidR="009D043C" w:rsidRPr="00E3020A" w:rsidRDefault="009D043C" w:rsidP="00036277">
                  <w:pPr>
                    <w:keepNext/>
                    <w:numPr>
                      <w:ilvl w:val="12"/>
                      <w:numId w:val="0"/>
                    </w:numPr>
                    <w:spacing w:before="0"/>
                    <w:ind w:right="-1"/>
                    <w:jc w:val="both"/>
                    <w:outlineLvl w:val="2"/>
                    <w:rPr>
                      <w:b/>
                      <w:szCs w:val="20"/>
                    </w:rPr>
                  </w:pPr>
                  <w:r w:rsidRPr="00E3020A">
                    <w:rPr>
                      <w:b/>
                      <w:szCs w:val="20"/>
                    </w:rPr>
                    <w:t>Abnormal result</w:t>
                  </w:r>
                </w:p>
              </w:tc>
              <w:tc>
                <w:tcPr>
                  <w:tcW w:w="5528" w:type="dxa"/>
                  <w:shd w:val="pct25" w:color="auto" w:fill="auto"/>
                </w:tcPr>
                <w:p w:rsidR="009D043C" w:rsidRPr="00E3020A" w:rsidRDefault="009D043C" w:rsidP="00036277">
                  <w:pPr>
                    <w:keepNext/>
                    <w:numPr>
                      <w:ilvl w:val="12"/>
                      <w:numId w:val="0"/>
                    </w:numPr>
                    <w:spacing w:before="0"/>
                    <w:ind w:right="-1"/>
                    <w:jc w:val="both"/>
                    <w:outlineLvl w:val="2"/>
                    <w:rPr>
                      <w:b/>
                      <w:szCs w:val="20"/>
                    </w:rPr>
                  </w:pPr>
                  <w:r w:rsidRPr="00E3020A">
                    <w:rPr>
                      <w:b/>
                      <w:szCs w:val="20"/>
                    </w:rPr>
                    <w:t>Action if abnormal result</w:t>
                  </w:r>
                </w:p>
              </w:tc>
            </w:tr>
            <w:tr w:rsidR="002970C2" w:rsidRPr="00E3020A" w:rsidTr="00036277">
              <w:trPr>
                <w:trHeight w:val="198"/>
              </w:trPr>
              <w:tc>
                <w:tcPr>
                  <w:tcW w:w="1555" w:type="dxa"/>
                </w:tcPr>
                <w:p w:rsidR="002970C2" w:rsidRPr="00E3020A" w:rsidRDefault="002970C2" w:rsidP="00036277">
                  <w:pPr>
                    <w:keepNext/>
                    <w:numPr>
                      <w:ilvl w:val="12"/>
                      <w:numId w:val="0"/>
                    </w:numPr>
                    <w:spacing w:before="0"/>
                    <w:ind w:right="-1"/>
                    <w:outlineLvl w:val="2"/>
                    <w:rPr>
                      <w:szCs w:val="20"/>
                    </w:rPr>
                  </w:pPr>
                </w:p>
              </w:tc>
              <w:tc>
                <w:tcPr>
                  <w:tcW w:w="1417" w:type="dxa"/>
                </w:tcPr>
                <w:p w:rsidR="002970C2" w:rsidRPr="00E3020A" w:rsidRDefault="002970C2" w:rsidP="00036277">
                  <w:pPr>
                    <w:keepNext/>
                    <w:numPr>
                      <w:ilvl w:val="12"/>
                      <w:numId w:val="0"/>
                    </w:numPr>
                    <w:spacing w:before="0"/>
                    <w:ind w:right="-1"/>
                    <w:outlineLvl w:val="2"/>
                    <w:rPr>
                      <w:szCs w:val="20"/>
                    </w:rPr>
                  </w:pPr>
                </w:p>
              </w:tc>
              <w:tc>
                <w:tcPr>
                  <w:tcW w:w="1843" w:type="dxa"/>
                </w:tcPr>
                <w:p w:rsidR="002970C2" w:rsidRPr="00E3020A" w:rsidRDefault="002970C2" w:rsidP="00036277">
                  <w:pPr>
                    <w:keepNext/>
                    <w:numPr>
                      <w:ilvl w:val="12"/>
                      <w:numId w:val="0"/>
                    </w:numPr>
                    <w:spacing w:before="0"/>
                    <w:ind w:right="-1"/>
                    <w:outlineLvl w:val="2"/>
                    <w:rPr>
                      <w:szCs w:val="20"/>
                    </w:rPr>
                  </w:pPr>
                </w:p>
              </w:tc>
              <w:tc>
                <w:tcPr>
                  <w:tcW w:w="5528" w:type="dxa"/>
                </w:tcPr>
                <w:p w:rsidR="002970C2" w:rsidRPr="00E3020A" w:rsidRDefault="002970C2" w:rsidP="00036277">
                  <w:pPr>
                    <w:keepNext/>
                    <w:numPr>
                      <w:ilvl w:val="12"/>
                      <w:numId w:val="0"/>
                    </w:numPr>
                    <w:spacing w:before="0"/>
                    <w:ind w:right="-1"/>
                    <w:outlineLvl w:val="2"/>
                    <w:rPr>
                      <w:szCs w:val="20"/>
                    </w:rPr>
                  </w:pPr>
                </w:p>
              </w:tc>
            </w:tr>
            <w:tr w:rsidR="002970C2" w:rsidRPr="00E3020A" w:rsidTr="002970C2">
              <w:trPr>
                <w:trHeight w:val="386"/>
              </w:trPr>
              <w:tc>
                <w:tcPr>
                  <w:tcW w:w="1555" w:type="dxa"/>
                </w:tcPr>
                <w:p w:rsidR="002970C2" w:rsidRPr="00E3020A" w:rsidRDefault="002970C2" w:rsidP="00036277">
                  <w:pPr>
                    <w:keepNext/>
                    <w:numPr>
                      <w:ilvl w:val="12"/>
                      <w:numId w:val="0"/>
                    </w:numPr>
                    <w:spacing w:before="0"/>
                    <w:ind w:right="-1"/>
                    <w:outlineLvl w:val="2"/>
                    <w:rPr>
                      <w:szCs w:val="20"/>
                    </w:rPr>
                  </w:pPr>
                </w:p>
              </w:tc>
              <w:tc>
                <w:tcPr>
                  <w:tcW w:w="1417" w:type="dxa"/>
                </w:tcPr>
                <w:p w:rsidR="002970C2" w:rsidRPr="00E3020A" w:rsidRDefault="002970C2" w:rsidP="00036277">
                  <w:pPr>
                    <w:keepNext/>
                    <w:numPr>
                      <w:ilvl w:val="12"/>
                      <w:numId w:val="0"/>
                    </w:numPr>
                    <w:spacing w:before="0"/>
                    <w:ind w:right="-1"/>
                    <w:outlineLvl w:val="2"/>
                    <w:rPr>
                      <w:szCs w:val="20"/>
                    </w:rPr>
                  </w:pPr>
                </w:p>
              </w:tc>
              <w:tc>
                <w:tcPr>
                  <w:tcW w:w="1843" w:type="dxa"/>
                </w:tcPr>
                <w:p w:rsidR="002970C2" w:rsidRPr="00E3020A" w:rsidRDefault="002970C2" w:rsidP="00036277">
                  <w:pPr>
                    <w:keepNext/>
                    <w:numPr>
                      <w:ilvl w:val="12"/>
                      <w:numId w:val="0"/>
                    </w:numPr>
                    <w:spacing w:before="0"/>
                    <w:ind w:right="-1"/>
                    <w:outlineLvl w:val="2"/>
                    <w:rPr>
                      <w:szCs w:val="20"/>
                    </w:rPr>
                  </w:pPr>
                </w:p>
              </w:tc>
              <w:tc>
                <w:tcPr>
                  <w:tcW w:w="5528" w:type="dxa"/>
                </w:tcPr>
                <w:p w:rsidR="002970C2" w:rsidRPr="00E3020A" w:rsidRDefault="002970C2" w:rsidP="00036277">
                  <w:pPr>
                    <w:keepNext/>
                    <w:numPr>
                      <w:ilvl w:val="12"/>
                      <w:numId w:val="0"/>
                    </w:numPr>
                    <w:spacing w:before="0"/>
                    <w:ind w:right="-1"/>
                    <w:outlineLvl w:val="2"/>
                    <w:rPr>
                      <w:szCs w:val="20"/>
                    </w:rPr>
                  </w:pPr>
                </w:p>
              </w:tc>
            </w:tr>
          </w:tbl>
          <w:p w:rsidR="009D043C" w:rsidRPr="00E3020A" w:rsidRDefault="009D043C" w:rsidP="00036277">
            <w:pPr>
              <w:keepNext/>
              <w:numPr>
                <w:ilvl w:val="12"/>
                <w:numId w:val="0"/>
              </w:numPr>
              <w:spacing w:before="0"/>
              <w:ind w:right="-1"/>
              <w:jc w:val="both"/>
              <w:outlineLvl w:val="2"/>
              <w:rPr>
                <w:szCs w:val="20"/>
              </w:rPr>
            </w:pPr>
          </w:p>
          <w:p w:rsidR="00030531" w:rsidRPr="00E3020A" w:rsidRDefault="003A69A1" w:rsidP="00036277">
            <w:pPr>
              <w:spacing w:before="0"/>
              <w:ind w:right="-1"/>
              <w:jc w:val="both"/>
            </w:pPr>
            <w:r w:rsidRPr="00E3020A">
              <w:rPr>
                <w:rStyle w:val="Heading3Char"/>
              </w:rPr>
              <w:t>Cautions, contraindications</w:t>
            </w:r>
            <w:r w:rsidR="006B4081" w:rsidRPr="00E3020A">
              <w:rPr>
                <w:szCs w:val="20"/>
              </w:rPr>
              <w:t xml:space="preserve"> - Refer to current Summary of Product Characteristics: </w:t>
            </w:r>
            <w:hyperlink r:id="rId15" w:history="1">
              <w:r w:rsidR="006B4081" w:rsidRPr="00B31B61">
                <w:rPr>
                  <w:rStyle w:val="Hyperlink"/>
                  <w:rFonts w:cs="Arial"/>
                  <w:color w:val="0070C0"/>
                  <w:szCs w:val="20"/>
                </w:rPr>
                <w:t>www.medicines.org.uk</w:t>
              </w:r>
            </w:hyperlink>
            <w:r w:rsidR="006B4081" w:rsidRPr="00B31B61">
              <w:rPr>
                <w:color w:val="0070C0"/>
                <w:szCs w:val="20"/>
              </w:rPr>
              <w:t xml:space="preserve"> </w:t>
            </w:r>
          </w:p>
          <w:p w:rsidR="00DB712A" w:rsidRPr="00E3020A" w:rsidRDefault="006B4081" w:rsidP="00036277">
            <w:pPr>
              <w:spacing w:before="0"/>
              <w:ind w:right="-1"/>
              <w:jc w:val="both"/>
              <w:rPr>
                <w:rStyle w:val="Heading3Char"/>
              </w:rPr>
            </w:pPr>
            <w:r w:rsidRPr="00E3020A">
              <w:rPr>
                <w:rStyle w:val="Heading3Char"/>
              </w:rPr>
              <w:t xml:space="preserve">Fertility, </w:t>
            </w:r>
            <w:r w:rsidR="00DB712A" w:rsidRPr="00E3020A">
              <w:rPr>
                <w:rStyle w:val="Heading3Char"/>
              </w:rPr>
              <w:t xml:space="preserve">Pregnancy and </w:t>
            </w:r>
            <w:r w:rsidR="00C8729F" w:rsidRPr="00E3020A">
              <w:rPr>
                <w:rStyle w:val="Heading3Char"/>
              </w:rPr>
              <w:t>Lactation</w:t>
            </w:r>
          </w:p>
          <w:p w:rsidR="00C8729F" w:rsidRPr="002970C2" w:rsidRDefault="001E3AFA" w:rsidP="00036277">
            <w:pPr>
              <w:spacing w:before="0"/>
              <w:ind w:right="-1"/>
              <w:jc w:val="both"/>
              <w:rPr>
                <w:b/>
                <w:bCs/>
              </w:rPr>
            </w:pPr>
            <w:r w:rsidRPr="00E3020A">
              <w:rPr>
                <w:szCs w:val="20"/>
              </w:rPr>
              <w:t xml:space="preserve">Refer to current Summary of Product Characteristics: </w:t>
            </w:r>
            <w:hyperlink r:id="rId16" w:history="1">
              <w:r w:rsidRPr="00B31B61">
                <w:rPr>
                  <w:rStyle w:val="Hyperlink"/>
                  <w:rFonts w:cs="Arial"/>
                  <w:color w:val="0070C0"/>
                  <w:szCs w:val="20"/>
                </w:rPr>
                <w:t>www.medicines.org.uk</w:t>
              </w:r>
            </w:hyperlink>
            <w:r w:rsidRPr="00E3020A">
              <w:t xml:space="preserve"> for full detail</w:t>
            </w:r>
            <w:r w:rsidR="00E24A3B" w:rsidRPr="00E3020A">
              <w:t>.</w:t>
            </w:r>
          </w:p>
          <w:p w:rsidR="00030531" w:rsidRPr="002970C2" w:rsidRDefault="00C8729F" w:rsidP="00036277">
            <w:pPr>
              <w:autoSpaceDE w:val="0"/>
              <w:autoSpaceDN w:val="0"/>
              <w:adjustRightInd w:val="0"/>
              <w:spacing w:before="0"/>
              <w:rPr>
                <w:b/>
                <w:bCs/>
              </w:rPr>
            </w:pPr>
            <w:r w:rsidRPr="00E3020A">
              <w:rPr>
                <w:rStyle w:val="Heading3Char"/>
              </w:rPr>
              <w:t>Vaccination</w:t>
            </w:r>
          </w:p>
          <w:p w:rsidR="00030531" w:rsidRPr="002970C2" w:rsidRDefault="003A69A1" w:rsidP="00036277">
            <w:pPr>
              <w:spacing w:before="0"/>
              <w:ind w:right="-1"/>
              <w:jc w:val="both"/>
              <w:rPr>
                <w:b/>
                <w:bCs/>
                <w:szCs w:val="20"/>
              </w:rPr>
            </w:pPr>
            <w:r w:rsidRPr="00E3020A">
              <w:rPr>
                <w:rStyle w:val="Heading3Char"/>
              </w:rPr>
              <w:t>Adverse effects</w:t>
            </w:r>
            <w:r w:rsidRPr="00E3020A">
              <w:rPr>
                <w:b/>
                <w:bCs/>
                <w:szCs w:val="20"/>
              </w:rPr>
              <w:t xml:space="preserve"> </w:t>
            </w:r>
            <w:r w:rsidR="006B4081" w:rsidRPr="00E3020A">
              <w:rPr>
                <w:bCs/>
                <w:szCs w:val="20"/>
              </w:rPr>
              <w:t>-</w:t>
            </w:r>
            <w:r w:rsidR="006B4081" w:rsidRPr="00E3020A">
              <w:rPr>
                <w:b/>
                <w:bCs/>
                <w:szCs w:val="20"/>
              </w:rPr>
              <w:t xml:space="preserve"> </w:t>
            </w:r>
            <w:r w:rsidR="006B4081" w:rsidRPr="00E3020A">
              <w:rPr>
                <w:szCs w:val="20"/>
              </w:rPr>
              <w:t xml:space="preserve">Refer to current Summary of Product Characteristics: </w:t>
            </w:r>
            <w:hyperlink r:id="rId17" w:history="1">
              <w:r w:rsidR="006B4081" w:rsidRPr="00B31B61">
                <w:rPr>
                  <w:rStyle w:val="Hyperlink"/>
                  <w:rFonts w:cs="Arial"/>
                  <w:color w:val="0070C0"/>
                  <w:szCs w:val="20"/>
                </w:rPr>
                <w:t>www.medicines.org.uk</w:t>
              </w:r>
            </w:hyperlink>
            <w:r w:rsidR="001E3AFA" w:rsidRPr="00B31B61">
              <w:rPr>
                <w:color w:val="0070C0"/>
              </w:rPr>
              <w:t xml:space="preserve"> </w:t>
            </w:r>
            <w:r w:rsidR="001E3AFA" w:rsidRPr="00E3020A">
              <w:t>for full detail</w:t>
            </w:r>
            <w:r w:rsidR="00E24A3B" w:rsidRPr="00E3020A">
              <w:t>.</w:t>
            </w:r>
          </w:p>
          <w:p w:rsidR="003A69A1" w:rsidRPr="00667090" w:rsidRDefault="003A69A1" w:rsidP="00667090">
            <w:pPr>
              <w:spacing w:before="0"/>
              <w:ind w:right="-1"/>
              <w:jc w:val="both"/>
              <w:rPr>
                <w:b/>
                <w:bCs/>
                <w:szCs w:val="20"/>
              </w:rPr>
            </w:pPr>
            <w:r w:rsidRPr="00E3020A">
              <w:rPr>
                <w:rStyle w:val="Heading3Char"/>
              </w:rPr>
              <w:t>Drug interactions</w:t>
            </w:r>
            <w:r w:rsidRPr="00E3020A">
              <w:rPr>
                <w:b/>
                <w:bCs/>
                <w:szCs w:val="20"/>
              </w:rPr>
              <w:t xml:space="preserve"> </w:t>
            </w:r>
            <w:r w:rsidR="00FE4986" w:rsidRPr="00E3020A">
              <w:rPr>
                <w:bCs/>
                <w:szCs w:val="20"/>
              </w:rPr>
              <w:t>-</w:t>
            </w:r>
            <w:r w:rsidRPr="00E3020A">
              <w:rPr>
                <w:b/>
                <w:bCs/>
                <w:szCs w:val="20"/>
              </w:rPr>
              <w:t xml:space="preserve"> </w:t>
            </w:r>
            <w:r w:rsidR="006B4081" w:rsidRPr="00E3020A">
              <w:rPr>
                <w:szCs w:val="20"/>
              </w:rPr>
              <w:t xml:space="preserve">Refer to current Summary of Product Characteristics: </w:t>
            </w:r>
            <w:hyperlink r:id="rId18" w:history="1">
              <w:r w:rsidR="006B4081" w:rsidRPr="00B31B61">
                <w:rPr>
                  <w:rStyle w:val="Hyperlink"/>
                  <w:rFonts w:cs="Arial"/>
                  <w:color w:val="0070C0"/>
                  <w:szCs w:val="20"/>
                </w:rPr>
                <w:t>www.medicines.org.uk</w:t>
              </w:r>
            </w:hyperlink>
            <w:r w:rsidR="001E3AFA" w:rsidRPr="00E3020A">
              <w:t xml:space="preserve"> for full detail</w:t>
            </w:r>
            <w:r w:rsidR="00E24A3B" w:rsidRPr="00E3020A">
              <w:t>.</w:t>
            </w:r>
          </w:p>
        </w:tc>
      </w:tr>
    </w:tbl>
    <w:p w:rsidR="000803E0" w:rsidRDefault="00A4447D" w:rsidP="00316606">
      <w:pPr>
        <w:spacing w:before="0"/>
        <w:ind w:right="-1"/>
        <w:jc w:val="both"/>
        <w:rPr>
          <w:bCs/>
          <w:szCs w:val="20"/>
        </w:rPr>
      </w:pPr>
      <w:r w:rsidRPr="00A4447D">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23.7pt;width:528.5pt;height:5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wBIgIAAEQ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">
            <v:textbox>
              <w:txbxContent>
                <w:p w:rsidR="000803E0" w:rsidRDefault="000803E0" w:rsidP="000803E0">
                  <w:pPr>
                    <w:spacing w:before="0"/>
                    <w:ind w:right="-1"/>
                    <w:jc w:val="both"/>
                    <w:rPr>
                      <w:bCs/>
                      <w:szCs w:val="20"/>
                    </w:rPr>
                  </w:pPr>
                  <w:r>
                    <w:t xml:space="preserve">The presence of this SCA does not compel a </w:t>
                  </w:r>
                  <w:r w:rsidR="00E421E9" w:rsidRPr="00EA7E48">
                    <w:t>primary care prescriber</w:t>
                  </w:r>
                  <w:r>
                    <w:t xml:space="preserve"> to prescribe if they feel that it is out with the scope of their competencies (as per GMC guidance on safe prescribing) or resources, as ultimate responsibility lies with the prescribing, not the recommending, clinician.</w:t>
                  </w:r>
                </w:p>
                <w:p w:rsidR="000803E0" w:rsidRDefault="000803E0" w:rsidP="000803E0"/>
              </w:txbxContent>
            </v:textbox>
            <w10:wrap type="square" anchorx="margin"/>
          </v:shape>
        </w:pict>
      </w:r>
    </w:p>
    <w:p w:rsidR="000803E0" w:rsidRDefault="000803E0" w:rsidP="00316606">
      <w:pPr>
        <w:spacing w:before="0"/>
        <w:ind w:right="-1"/>
        <w:jc w:val="both"/>
        <w:rPr>
          <w:bCs/>
          <w:szCs w:val="20"/>
        </w:rPr>
      </w:pPr>
    </w:p>
    <w:p w:rsidR="00213871" w:rsidRPr="00900722" w:rsidRDefault="00FE4986" w:rsidP="00316606">
      <w:pPr>
        <w:spacing w:before="0"/>
        <w:ind w:right="-1"/>
        <w:jc w:val="both"/>
        <w:rPr>
          <w:bCs/>
          <w:i/>
          <w:iCs/>
          <w:color w:val="C00000"/>
          <w:szCs w:val="20"/>
        </w:rPr>
      </w:pPr>
      <w:r w:rsidRPr="00D21231">
        <w:rPr>
          <w:bCs/>
          <w:szCs w:val="20"/>
        </w:rPr>
        <w:t xml:space="preserve">Approved by the </w:t>
      </w:r>
      <w:r w:rsidR="002970C2" w:rsidRPr="002970C2">
        <w:rPr>
          <w:bCs/>
          <w:color w:val="C00000"/>
          <w:szCs w:val="20"/>
        </w:rPr>
        <w:t>XX</w:t>
      </w:r>
      <w:r w:rsidRPr="00D21231">
        <w:rPr>
          <w:bCs/>
          <w:szCs w:val="20"/>
        </w:rPr>
        <w:t xml:space="preserve"> Committee</w:t>
      </w:r>
      <w:r w:rsidR="007B29F7" w:rsidRPr="00D21231">
        <w:rPr>
          <w:bCs/>
          <w:szCs w:val="20"/>
        </w:rPr>
        <w:t xml:space="preserve"> </w:t>
      </w:r>
      <w:r w:rsidR="002970C2">
        <w:rPr>
          <w:bCs/>
          <w:szCs w:val="20"/>
        </w:rPr>
        <w:t>on</w:t>
      </w:r>
      <w:r w:rsidR="00036277">
        <w:rPr>
          <w:bCs/>
          <w:szCs w:val="20"/>
        </w:rPr>
        <w:t xml:space="preserve"> </w:t>
      </w:r>
      <w:r w:rsidR="00036277" w:rsidRPr="00036277">
        <w:rPr>
          <w:bCs/>
          <w:color w:val="C00000"/>
          <w:szCs w:val="20"/>
        </w:rPr>
        <w:t>XX.X</w:t>
      </w:r>
      <w:r w:rsidR="002970C2" w:rsidRPr="00036277">
        <w:rPr>
          <w:bCs/>
          <w:color w:val="C00000"/>
          <w:szCs w:val="20"/>
        </w:rPr>
        <w:t xml:space="preserve">.XX </w:t>
      </w:r>
      <w:r w:rsidR="00900722" w:rsidRPr="00900722">
        <w:rPr>
          <w:bCs/>
          <w:i/>
          <w:iCs/>
          <w:color w:val="C00000"/>
          <w:szCs w:val="20"/>
        </w:rPr>
        <w:t>(delete if not applicable)</w:t>
      </w:r>
    </w:p>
    <w:p w:rsidR="001F35CD" w:rsidRPr="00036277" w:rsidRDefault="00900722" w:rsidP="00316606">
      <w:pPr>
        <w:spacing w:before="0"/>
        <w:ind w:right="-1"/>
        <w:jc w:val="both"/>
        <w:rPr>
          <w:bCs/>
          <w:color w:val="C00000"/>
          <w:szCs w:val="20"/>
        </w:rPr>
      </w:pPr>
      <w:r>
        <w:rPr>
          <w:bCs/>
          <w:szCs w:val="20"/>
        </w:rPr>
        <w:t>Approved by</w:t>
      </w:r>
      <w:r w:rsidR="00797DE4" w:rsidRPr="00D21231">
        <w:rPr>
          <w:bCs/>
          <w:szCs w:val="20"/>
        </w:rPr>
        <w:t xml:space="preserve"> the General Practice P</w:t>
      </w:r>
      <w:r w:rsidR="001F35CD" w:rsidRPr="00D21231">
        <w:rPr>
          <w:bCs/>
          <w:szCs w:val="20"/>
        </w:rPr>
        <w:t xml:space="preserve">rescribing Committee </w:t>
      </w:r>
      <w:r w:rsidR="00797DE4" w:rsidRPr="00D21231">
        <w:rPr>
          <w:bCs/>
          <w:szCs w:val="20"/>
        </w:rPr>
        <w:t xml:space="preserve">(GPPC) </w:t>
      </w:r>
      <w:r w:rsidR="001F35CD" w:rsidRPr="00D21231">
        <w:rPr>
          <w:bCs/>
          <w:szCs w:val="20"/>
        </w:rPr>
        <w:t xml:space="preserve">on </w:t>
      </w:r>
      <w:r w:rsidR="00036277" w:rsidRPr="00036277">
        <w:rPr>
          <w:bCs/>
          <w:color w:val="C00000"/>
          <w:szCs w:val="20"/>
        </w:rPr>
        <w:t xml:space="preserve">XX.X.XX </w:t>
      </w:r>
    </w:p>
    <w:p w:rsidR="00D21231" w:rsidRPr="00D21231" w:rsidRDefault="00D21231">
      <w:pPr>
        <w:spacing w:before="0"/>
        <w:ind w:right="-1"/>
        <w:jc w:val="both"/>
        <w:rPr>
          <w:bCs/>
          <w:i/>
          <w:iCs/>
          <w:szCs w:val="20"/>
        </w:rPr>
      </w:pPr>
    </w:p>
    <w:sectPr w:rsidR="00D21231" w:rsidRPr="00D21231" w:rsidSect="00DB712A">
      <w:headerReference w:type="default" r:id="rId19"/>
      <w:footerReference w:type="default" r:id="rId20"/>
      <w:footerReference w:type="first" r:id="rId21"/>
      <w:type w:val="continuous"/>
      <w:pgSz w:w="11906" w:h="16838" w:code="9"/>
      <w:pgMar w:top="720" w:right="720" w:bottom="720" w:left="720" w:header="510" w:footer="474" w:gutter="0"/>
      <w:cols w:space="720" w:equalWidth="0">
        <w:col w:w="10052"/>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65" w:rsidRDefault="00E60265">
      <w:r>
        <w:separator/>
      </w:r>
    </w:p>
  </w:endnote>
  <w:endnote w:type="continuationSeparator" w:id="0">
    <w:p w:rsidR="00E60265" w:rsidRDefault="00E60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72525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E3AFA" w:rsidRPr="00B45122" w:rsidRDefault="001E3AFA" w:rsidP="00FF4F73">
            <w:pPr>
              <w:pStyle w:val="Footer"/>
              <w:spacing w:before="0"/>
              <w:rPr>
                <w:b/>
                <w:bCs/>
                <w:i/>
                <w:iCs/>
                <w:sz w:val="18"/>
                <w:szCs w:val="18"/>
              </w:rPr>
            </w:pPr>
            <w:r w:rsidRPr="007E6EBC">
              <w:rPr>
                <w:sz w:val="18"/>
                <w:szCs w:val="18"/>
              </w:rPr>
              <w:tab/>
            </w:r>
            <w:r w:rsidRPr="007E6EBC">
              <w:rPr>
                <w:sz w:val="18"/>
                <w:szCs w:val="18"/>
              </w:rPr>
              <w:tab/>
            </w:r>
            <w:r w:rsidRPr="007E6EBC">
              <w:rPr>
                <w:sz w:val="18"/>
                <w:szCs w:val="18"/>
              </w:rPr>
              <w:tab/>
              <w:t xml:space="preserve">Page </w:t>
            </w:r>
            <w:r w:rsidR="00A4447D" w:rsidRPr="007E6EBC">
              <w:rPr>
                <w:sz w:val="18"/>
                <w:szCs w:val="18"/>
              </w:rPr>
              <w:fldChar w:fldCharType="begin"/>
            </w:r>
            <w:r w:rsidRPr="007E6EBC">
              <w:rPr>
                <w:sz w:val="18"/>
                <w:szCs w:val="18"/>
              </w:rPr>
              <w:instrText xml:space="preserve"> PAGE </w:instrText>
            </w:r>
            <w:r w:rsidR="00A4447D" w:rsidRPr="007E6EBC">
              <w:rPr>
                <w:sz w:val="18"/>
                <w:szCs w:val="18"/>
              </w:rPr>
              <w:fldChar w:fldCharType="separate"/>
            </w:r>
            <w:r w:rsidR="0094661E">
              <w:rPr>
                <w:noProof/>
                <w:sz w:val="18"/>
                <w:szCs w:val="18"/>
              </w:rPr>
              <w:t>2</w:t>
            </w:r>
            <w:r w:rsidR="00A4447D" w:rsidRPr="007E6EBC">
              <w:rPr>
                <w:sz w:val="18"/>
                <w:szCs w:val="18"/>
              </w:rPr>
              <w:fldChar w:fldCharType="end"/>
            </w:r>
            <w:r w:rsidRPr="007E6EBC">
              <w:rPr>
                <w:sz w:val="18"/>
                <w:szCs w:val="18"/>
              </w:rPr>
              <w:t xml:space="preserve"> of </w:t>
            </w:r>
            <w:r w:rsidR="00A4447D" w:rsidRPr="007E6EBC">
              <w:rPr>
                <w:sz w:val="18"/>
                <w:szCs w:val="18"/>
              </w:rPr>
              <w:fldChar w:fldCharType="begin"/>
            </w:r>
            <w:r w:rsidRPr="007E6EBC">
              <w:rPr>
                <w:sz w:val="18"/>
                <w:szCs w:val="18"/>
              </w:rPr>
              <w:instrText xml:space="preserve"> NUMPAGES  </w:instrText>
            </w:r>
            <w:r w:rsidR="00A4447D" w:rsidRPr="007E6EBC">
              <w:rPr>
                <w:sz w:val="18"/>
                <w:szCs w:val="18"/>
              </w:rPr>
              <w:fldChar w:fldCharType="separate"/>
            </w:r>
            <w:r w:rsidR="0094661E">
              <w:rPr>
                <w:noProof/>
                <w:sz w:val="18"/>
                <w:szCs w:val="18"/>
              </w:rPr>
              <w:t>2</w:t>
            </w:r>
            <w:r w:rsidR="00A4447D" w:rsidRPr="007E6EBC">
              <w:rPr>
                <w:sz w:val="18"/>
                <w:szCs w:val="18"/>
              </w:rPr>
              <w:fldChar w:fldCharType="end"/>
            </w:r>
          </w:p>
        </w:sdtContent>
      </w:sdt>
    </w:sdtContent>
  </w:sdt>
  <w:p w:rsidR="001E3AFA" w:rsidRDefault="001E3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593"/>
      <w:docPartObj>
        <w:docPartGallery w:val="Page Numbers (Bottom of Page)"/>
        <w:docPartUnique/>
      </w:docPartObj>
    </w:sdtPr>
    <w:sdtContent>
      <w:sdt>
        <w:sdtPr>
          <w:id w:val="12081592"/>
          <w:docPartObj>
            <w:docPartGallery w:val="Page Numbers (Top of Page)"/>
            <w:docPartUnique/>
          </w:docPartObj>
        </w:sdtPr>
        <w:sdtContent>
          <w:p w:rsidR="00036277" w:rsidRDefault="00036277" w:rsidP="00036277">
            <w:pPr>
              <w:pStyle w:val="Header"/>
              <w:jc w:val="center"/>
              <w:rPr>
                <w:rFonts w:cs="Arial"/>
                <w:i/>
                <w:iCs/>
                <w:color w:val="C00000"/>
                <w:sz w:val="20"/>
                <w:szCs w:val="20"/>
              </w:rPr>
            </w:pPr>
            <w:r w:rsidRPr="0086683F">
              <w:rPr>
                <w:rFonts w:cs="Arial"/>
                <w:i/>
                <w:sz w:val="20"/>
                <w:szCs w:val="20"/>
              </w:rPr>
              <w:t xml:space="preserve">Shared Care Agreement: </w:t>
            </w:r>
            <w:r w:rsidRPr="00667090">
              <w:rPr>
                <w:rFonts w:cs="Arial"/>
                <w:b/>
                <w:bCs/>
                <w:i/>
                <w:iCs/>
                <w:color w:val="C00000"/>
                <w:sz w:val="20"/>
                <w:szCs w:val="20"/>
              </w:rPr>
              <w:t>medicine x for indication y</w:t>
            </w:r>
          </w:p>
          <w:p w:rsidR="00667090" w:rsidRDefault="00667090" w:rsidP="00667090">
            <w:pPr>
              <w:pStyle w:val="Header"/>
              <w:jc w:val="right"/>
              <w:rPr>
                <w:rFonts w:cs="Arial"/>
                <w:i/>
                <w:iCs/>
                <w:sz w:val="20"/>
                <w:szCs w:val="20"/>
              </w:rPr>
            </w:pPr>
            <w:r w:rsidRPr="00667090">
              <w:rPr>
                <w:rFonts w:cs="Arial"/>
                <w:i/>
                <w:iCs/>
                <w:sz w:val="20"/>
                <w:szCs w:val="20"/>
              </w:rPr>
              <w:t xml:space="preserve">SCA Template Revised </w:t>
            </w:r>
            <w:r w:rsidR="00EA7E48">
              <w:rPr>
                <w:rFonts w:cs="Arial"/>
                <w:i/>
                <w:iCs/>
                <w:sz w:val="20"/>
                <w:szCs w:val="20"/>
              </w:rPr>
              <w:t>Febr</w:t>
            </w:r>
            <w:r w:rsidR="00900722">
              <w:rPr>
                <w:rFonts w:cs="Arial"/>
                <w:i/>
                <w:iCs/>
                <w:sz w:val="20"/>
                <w:szCs w:val="20"/>
              </w:rPr>
              <w:t>uary</w:t>
            </w:r>
            <w:r w:rsidRPr="00667090">
              <w:rPr>
                <w:rFonts w:cs="Arial"/>
                <w:i/>
                <w:iCs/>
                <w:sz w:val="20"/>
                <w:szCs w:val="20"/>
              </w:rPr>
              <w:t xml:space="preserve"> 202</w:t>
            </w:r>
            <w:r w:rsidR="00900722">
              <w:rPr>
                <w:rFonts w:cs="Arial"/>
                <w:i/>
                <w:iCs/>
                <w:sz w:val="20"/>
                <w:szCs w:val="20"/>
              </w:rPr>
              <w:t>2</w:t>
            </w:r>
          </w:p>
          <w:p w:rsidR="001E3AFA" w:rsidRPr="00667090" w:rsidRDefault="001E3AFA" w:rsidP="00667090">
            <w:pPr>
              <w:pStyle w:val="Header"/>
              <w:jc w:val="right"/>
              <w:rPr>
                <w:rFonts w:cs="Arial"/>
                <w:i/>
                <w:iCs/>
                <w:sz w:val="20"/>
                <w:szCs w:val="20"/>
              </w:rPr>
            </w:pPr>
            <w:r w:rsidRPr="000803E0">
              <w:rPr>
                <w:sz w:val="18"/>
                <w:szCs w:val="18"/>
              </w:rPr>
              <w:t xml:space="preserve">Page </w:t>
            </w:r>
            <w:r w:rsidR="00A4447D" w:rsidRPr="000803E0">
              <w:rPr>
                <w:sz w:val="18"/>
                <w:szCs w:val="18"/>
              </w:rPr>
              <w:fldChar w:fldCharType="begin"/>
            </w:r>
            <w:r w:rsidRPr="000803E0">
              <w:rPr>
                <w:sz w:val="18"/>
                <w:szCs w:val="18"/>
              </w:rPr>
              <w:instrText xml:space="preserve"> PAGE </w:instrText>
            </w:r>
            <w:r w:rsidR="00A4447D" w:rsidRPr="000803E0">
              <w:rPr>
                <w:sz w:val="18"/>
                <w:szCs w:val="18"/>
              </w:rPr>
              <w:fldChar w:fldCharType="separate"/>
            </w:r>
            <w:r w:rsidR="0094661E">
              <w:rPr>
                <w:noProof/>
                <w:sz w:val="18"/>
                <w:szCs w:val="18"/>
              </w:rPr>
              <w:t>1</w:t>
            </w:r>
            <w:r w:rsidR="00A4447D" w:rsidRPr="000803E0">
              <w:rPr>
                <w:sz w:val="18"/>
                <w:szCs w:val="18"/>
              </w:rPr>
              <w:fldChar w:fldCharType="end"/>
            </w:r>
            <w:r w:rsidRPr="000803E0">
              <w:rPr>
                <w:sz w:val="18"/>
                <w:szCs w:val="18"/>
              </w:rPr>
              <w:t xml:space="preserve"> of </w:t>
            </w:r>
            <w:r w:rsidR="00A4447D" w:rsidRPr="000803E0">
              <w:rPr>
                <w:sz w:val="18"/>
                <w:szCs w:val="18"/>
              </w:rPr>
              <w:fldChar w:fldCharType="begin"/>
            </w:r>
            <w:r w:rsidRPr="000803E0">
              <w:rPr>
                <w:sz w:val="18"/>
                <w:szCs w:val="18"/>
              </w:rPr>
              <w:instrText xml:space="preserve"> NUMPAGES  </w:instrText>
            </w:r>
            <w:r w:rsidR="00A4447D" w:rsidRPr="000803E0">
              <w:rPr>
                <w:sz w:val="18"/>
                <w:szCs w:val="18"/>
              </w:rPr>
              <w:fldChar w:fldCharType="separate"/>
            </w:r>
            <w:r w:rsidR="0094661E">
              <w:rPr>
                <w:noProof/>
                <w:sz w:val="18"/>
                <w:szCs w:val="18"/>
              </w:rPr>
              <w:t>2</w:t>
            </w:r>
            <w:r w:rsidR="00A4447D" w:rsidRPr="000803E0">
              <w:rPr>
                <w:sz w:val="18"/>
                <w:szCs w:val="18"/>
              </w:rPr>
              <w:fldChar w:fldCharType="end"/>
            </w:r>
          </w:p>
        </w:sdtContent>
      </w:sdt>
    </w:sdtContent>
  </w:sdt>
  <w:p w:rsidR="001E3AFA" w:rsidRDefault="001E3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65" w:rsidRDefault="00E60265">
      <w:r>
        <w:separator/>
      </w:r>
    </w:p>
  </w:footnote>
  <w:footnote w:type="continuationSeparator" w:id="0">
    <w:p w:rsidR="00E60265" w:rsidRDefault="00E60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FA" w:rsidRPr="0086683F" w:rsidRDefault="001E3AFA" w:rsidP="0086683F">
    <w:pPr>
      <w:pStyle w:val="Header"/>
      <w:jc w:val="center"/>
      <w:rPr>
        <w:rFonts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014C9"/>
    <w:multiLevelType w:val="hybridMultilevel"/>
    <w:tmpl w:val="BEDC9C7E"/>
    <w:lvl w:ilvl="0" w:tplc="8340C4EC">
      <w:start w:val="1"/>
      <w:numFmt w:val="bullet"/>
      <w:lvlText w:val=""/>
      <w:lvlJc w:val="left"/>
      <w:pPr>
        <w:tabs>
          <w:tab w:val="num" w:pos="170"/>
        </w:tabs>
        <w:ind w:left="170" w:hanging="17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64E02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07A3232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08863FF5"/>
    <w:multiLevelType w:val="hybridMultilevel"/>
    <w:tmpl w:val="D1A2C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8E4499"/>
    <w:multiLevelType w:val="hybridMultilevel"/>
    <w:tmpl w:val="017A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D1083"/>
    <w:multiLevelType w:val="hybridMultilevel"/>
    <w:tmpl w:val="55948E3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7677255"/>
    <w:multiLevelType w:val="hybridMultilevel"/>
    <w:tmpl w:val="0C649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E85993"/>
    <w:multiLevelType w:val="hybridMultilevel"/>
    <w:tmpl w:val="4CE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11777"/>
    <w:multiLevelType w:val="multilevel"/>
    <w:tmpl w:val="C49897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88D1921"/>
    <w:multiLevelType w:val="hybridMultilevel"/>
    <w:tmpl w:val="1E4C9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F00635"/>
    <w:multiLevelType w:val="hybridMultilevel"/>
    <w:tmpl w:val="8070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07B79"/>
    <w:multiLevelType w:val="hybridMultilevel"/>
    <w:tmpl w:val="9B70AF78"/>
    <w:lvl w:ilvl="0" w:tplc="081EDBA4">
      <w:start w:val="1"/>
      <w:numFmt w:val="bullet"/>
      <w:pStyle w:val="ListParagraph"/>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111480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28CC504A"/>
    <w:multiLevelType w:val="hybridMultilevel"/>
    <w:tmpl w:val="E360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B1D6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nsid w:val="29031072"/>
    <w:multiLevelType w:val="hybridMultilevel"/>
    <w:tmpl w:val="4E6CDE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2A681B70"/>
    <w:multiLevelType w:val="hybridMultilevel"/>
    <w:tmpl w:val="7834BD1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B3246FB"/>
    <w:multiLevelType w:val="hybridMultilevel"/>
    <w:tmpl w:val="AE7EA5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E582545"/>
    <w:multiLevelType w:val="hybridMultilevel"/>
    <w:tmpl w:val="DD106442"/>
    <w:lvl w:ilvl="0" w:tplc="AE047640">
      <w:start w:val="1"/>
      <w:numFmt w:val="bullet"/>
      <w:lvlText w:val=""/>
      <w:lvlJc w:val="left"/>
      <w:pPr>
        <w:tabs>
          <w:tab w:val="num" w:pos="284"/>
        </w:tabs>
        <w:ind w:left="284" w:hanging="28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8CE78D9"/>
    <w:multiLevelType w:val="hybridMultilevel"/>
    <w:tmpl w:val="EA3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86D9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3">
    <w:nsid w:val="40651534"/>
    <w:multiLevelType w:val="multilevel"/>
    <w:tmpl w:val="AB72D5E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5D38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5">
    <w:nsid w:val="427D6623"/>
    <w:multiLevelType w:val="hybridMultilevel"/>
    <w:tmpl w:val="04F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76E8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7">
    <w:nsid w:val="4CC72233"/>
    <w:multiLevelType w:val="hybridMultilevel"/>
    <w:tmpl w:val="335E029C"/>
    <w:lvl w:ilvl="0" w:tplc="6DFE16C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9A7071"/>
    <w:multiLevelType w:val="hybridMultilevel"/>
    <w:tmpl w:val="A5146F00"/>
    <w:lvl w:ilvl="0" w:tplc="D1B461A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710E6"/>
    <w:multiLevelType w:val="hybridMultilevel"/>
    <w:tmpl w:val="D4BCE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5928C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1">
    <w:nsid w:val="5EBC146E"/>
    <w:multiLevelType w:val="hybridMultilevel"/>
    <w:tmpl w:val="0CCC508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FE803A6"/>
    <w:multiLevelType w:val="hybridMultilevel"/>
    <w:tmpl w:val="524CB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ED2B4C"/>
    <w:multiLevelType w:val="hybridMultilevel"/>
    <w:tmpl w:val="8AEC214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84A3191"/>
    <w:multiLevelType w:val="hybridMultilevel"/>
    <w:tmpl w:val="ABC059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9B05C1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6">
    <w:nsid w:val="6C5E12D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7">
    <w:nsid w:val="6CE427AF"/>
    <w:multiLevelType w:val="hybridMultilevel"/>
    <w:tmpl w:val="604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63453"/>
    <w:multiLevelType w:val="hybridMultilevel"/>
    <w:tmpl w:val="CED66E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77071FBC"/>
    <w:multiLevelType w:val="hybridMultilevel"/>
    <w:tmpl w:val="65E43B74"/>
    <w:lvl w:ilvl="0" w:tplc="D9AC501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4742B9"/>
    <w:multiLevelType w:val="hybridMultilevel"/>
    <w:tmpl w:val="C556E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2"/>
  </w:num>
  <w:num w:numId="4">
    <w:abstractNumId w:val="16"/>
  </w:num>
  <w:num w:numId="5">
    <w:abstractNumId w:val="14"/>
  </w:num>
  <w:num w:numId="6">
    <w:abstractNumId w:val="23"/>
  </w:num>
  <w:num w:numId="7">
    <w:abstractNumId w:val="30"/>
  </w:num>
  <w:num w:numId="8">
    <w:abstractNumId w:val="3"/>
  </w:num>
  <w:num w:numId="9">
    <w:abstractNumId w:val="2"/>
  </w:num>
  <w:num w:numId="10">
    <w:abstractNumId w:val="36"/>
  </w:num>
  <w:num w:numId="11">
    <w:abstractNumId w:val="24"/>
  </w:num>
  <w:num w:numId="12">
    <w:abstractNumId w:val="1"/>
  </w:num>
  <w:num w:numId="13">
    <w:abstractNumId w:val="20"/>
  </w:num>
  <w:num w:numId="14">
    <w:abstractNumId w:val="40"/>
  </w:num>
  <w:num w:numId="15">
    <w:abstractNumId w:val="32"/>
  </w:num>
  <w:num w:numId="16">
    <w:abstractNumId w:val="19"/>
  </w:num>
  <w:num w:numId="17">
    <w:abstractNumId w:val="9"/>
  </w:num>
  <w:num w:numId="18">
    <w:abstractNumId w:val="26"/>
  </w:num>
  <w:num w:numId="19">
    <w:abstractNumId w:val="38"/>
  </w:num>
  <w:num w:numId="20">
    <w:abstractNumId w:val="6"/>
  </w:num>
  <w:num w:numId="21">
    <w:abstractNumId w:val="33"/>
  </w:num>
  <w:num w:numId="22">
    <w:abstractNumId w:val="12"/>
  </w:num>
  <w:num w:numId="23">
    <w:abstractNumId w:val="34"/>
  </w:num>
  <w:num w:numId="24">
    <w:abstractNumId w:val="18"/>
  </w:num>
  <w:num w:numId="25">
    <w:abstractNumId w:val="31"/>
  </w:num>
  <w:num w:numId="26">
    <w:abstractNumId w:val="13"/>
  </w:num>
  <w:num w:numId="27">
    <w:abstractNumId w:val="37"/>
  </w:num>
  <w:num w:numId="28">
    <w:abstractNumId w:val="27"/>
  </w:num>
  <w:num w:numId="29">
    <w:abstractNumId w:val="10"/>
  </w:num>
  <w:num w:numId="30">
    <w:abstractNumId w:val="29"/>
  </w:num>
  <w:num w:numId="31">
    <w:abstractNumId w:val="11"/>
  </w:num>
  <w:num w:numId="32">
    <w:abstractNumId w:val="25"/>
  </w:num>
  <w:num w:numId="33">
    <w:abstractNumId w:val="15"/>
  </w:num>
  <w:num w:numId="34">
    <w:abstractNumId w:val="21"/>
  </w:num>
  <w:num w:numId="35">
    <w:abstractNumId w:val="5"/>
  </w:num>
  <w:num w:numId="36">
    <w:abstractNumId w:val="28"/>
  </w:num>
  <w:num w:numId="37">
    <w:abstractNumId w:val="39"/>
  </w:num>
  <w:num w:numId="38">
    <w:abstractNumId w:val="7"/>
  </w:num>
  <w:num w:numId="39">
    <w:abstractNumId w:val="8"/>
  </w:num>
  <w:num w:numId="40">
    <w:abstractNumId w:val="4"/>
  </w:num>
  <w:num w:numId="41">
    <w:abstractNumId w:val="12"/>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1B3FB2"/>
    <w:rsid w:val="00000537"/>
    <w:rsid w:val="00000AB4"/>
    <w:rsid w:val="00015399"/>
    <w:rsid w:val="00017322"/>
    <w:rsid w:val="00021D03"/>
    <w:rsid w:val="00027C21"/>
    <w:rsid w:val="00030531"/>
    <w:rsid w:val="0003279C"/>
    <w:rsid w:val="00036277"/>
    <w:rsid w:val="00036C68"/>
    <w:rsid w:val="00037B80"/>
    <w:rsid w:val="000459F0"/>
    <w:rsid w:val="00045AC8"/>
    <w:rsid w:val="00053003"/>
    <w:rsid w:val="00060FAE"/>
    <w:rsid w:val="00062D58"/>
    <w:rsid w:val="000702D8"/>
    <w:rsid w:val="000803E0"/>
    <w:rsid w:val="00084AAE"/>
    <w:rsid w:val="00096FC4"/>
    <w:rsid w:val="000A1F1B"/>
    <w:rsid w:val="000A4F05"/>
    <w:rsid w:val="000A5442"/>
    <w:rsid w:val="000B0504"/>
    <w:rsid w:val="000B1788"/>
    <w:rsid w:val="000C205E"/>
    <w:rsid w:val="000C7848"/>
    <w:rsid w:val="000D1851"/>
    <w:rsid w:val="000D37A1"/>
    <w:rsid w:val="000E2D40"/>
    <w:rsid w:val="000E4B52"/>
    <w:rsid w:val="000F5A1A"/>
    <w:rsid w:val="001015B3"/>
    <w:rsid w:val="00104DB0"/>
    <w:rsid w:val="001051EA"/>
    <w:rsid w:val="00124E17"/>
    <w:rsid w:val="0012785A"/>
    <w:rsid w:val="0013023F"/>
    <w:rsid w:val="00143ACF"/>
    <w:rsid w:val="00144A9C"/>
    <w:rsid w:val="00155BD4"/>
    <w:rsid w:val="00155D6C"/>
    <w:rsid w:val="001641E1"/>
    <w:rsid w:val="00166B0F"/>
    <w:rsid w:val="00174191"/>
    <w:rsid w:val="00190A9B"/>
    <w:rsid w:val="00190B19"/>
    <w:rsid w:val="00192D84"/>
    <w:rsid w:val="001971D4"/>
    <w:rsid w:val="001A5CEF"/>
    <w:rsid w:val="001A629A"/>
    <w:rsid w:val="001A6F76"/>
    <w:rsid w:val="001A734A"/>
    <w:rsid w:val="001B25BC"/>
    <w:rsid w:val="001B3FB2"/>
    <w:rsid w:val="001C2CE8"/>
    <w:rsid w:val="001E22CA"/>
    <w:rsid w:val="001E3AFA"/>
    <w:rsid w:val="001E6BA6"/>
    <w:rsid w:val="001F35CD"/>
    <w:rsid w:val="001F3DC5"/>
    <w:rsid w:val="00202475"/>
    <w:rsid w:val="00213871"/>
    <w:rsid w:val="00222DC1"/>
    <w:rsid w:val="00224E66"/>
    <w:rsid w:val="00226B19"/>
    <w:rsid w:val="00234C5C"/>
    <w:rsid w:val="0023531A"/>
    <w:rsid w:val="00237062"/>
    <w:rsid w:val="002373F9"/>
    <w:rsid w:val="00241BBD"/>
    <w:rsid w:val="002530FD"/>
    <w:rsid w:val="0025397D"/>
    <w:rsid w:val="0025776B"/>
    <w:rsid w:val="00260FC0"/>
    <w:rsid w:val="00262900"/>
    <w:rsid w:val="00276984"/>
    <w:rsid w:val="002773C2"/>
    <w:rsid w:val="00277EF5"/>
    <w:rsid w:val="002834E3"/>
    <w:rsid w:val="002835B4"/>
    <w:rsid w:val="002970C2"/>
    <w:rsid w:val="002A1616"/>
    <w:rsid w:val="002A6F36"/>
    <w:rsid w:val="002A7433"/>
    <w:rsid w:val="002B283E"/>
    <w:rsid w:val="002B4CB0"/>
    <w:rsid w:val="002B5845"/>
    <w:rsid w:val="002B5D49"/>
    <w:rsid w:val="002B74D3"/>
    <w:rsid w:val="002C4686"/>
    <w:rsid w:val="002D238E"/>
    <w:rsid w:val="002D39BB"/>
    <w:rsid w:val="002E30E8"/>
    <w:rsid w:val="002E7039"/>
    <w:rsid w:val="002F5B2A"/>
    <w:rsid w:val="003136E1"/>
    <w:rsid w:val="00316606"/>
    <w:rsid w:val="00322331"/>
    <w:rsid w:val="003239AB"/>
    <w:rsid w:val="00323ACE"/>
    <w:rsid w:val="0032547B"/>
    <w:rsid w:val="00325D80"/>
    <w:rsid w:val="00330CF0"/>
    <w:rsid w:val="0034376A"/>
    <w:rsid w:val="003518FE"/>
    <w:rsid w:val="003524E9"/>
    <w:rsid w:val="00361C05"/>
    <w:rsid w:val="003629EF"/>
    <w:rsid w:val="00362DEE"/>
    <w:rsid w:val="00380956"/>
    <w:rsid w:val="00386A94"/>
    <w:rsid w:val="0039055A"/>
    <w:rsid w:val="00391CCC"/>
    <w:rsid w:val="00394753"/>
    <w:rsid w:val="00395C3A"/>
    <w:rsid w:val="003A16E8"/>
    <w:rsid w:val="003A29CA"/>
    <w:rsid w:val="003A2BE3"/>
    <w:rsid w:val="003A69A1"/>
    <w:rsid w:val="003B690C"/>
    <w:rsid w:val="003B6DCD"/>
    <w:rsid w:val="003C20EF"/>
    <w:rsid w:val="003C2C86"/>
    <w:rsid w:val="003C44C3"/>
    <w:rsid w:val="003E18FF"/>
    <w:rsid w:val="003E412A"/>
    <w:rsid w:val="003E77E7"/>
    <w:rsid w:val="00402EFE"/>
    <w:rsid w:val="00406829"/>
    <w:rsid w:val="00414F61"/>
    <w:rsid w:val="00417323"/>
    <w:rsid w:val="004201A0"/>
    <w:rsid w:val="0042776B"/>
    <w:rsid w:val="0043388A"/>
    <w:rsid w:val="00443F0C"/>
    <w:rsid w:val="004524EF"/>
    <w:rsid w:val="00465D92"/>
    <w:rsid w:val="0046766F"/>
    <w:rsid w:val="00473A9D"/>
    <w:rsid w:val="00477B9D"/>
    <w:rsid w:val="00482FEA"/>
    <w:rsid w:val="0048493D"/>
    <w:rsid w:val="004C30B3"/>
    <w:rsid w:val="004C5B5F"/>
    <w:rsid w:val="004D4D0F"/>
    <w:rsid w:val="004D5FF2"/>
    <w:rsid w:val="004E7D80"/>
    <w:rsid w:val="00506638"/>
    <w:rsid w:val="00513A26"/>
    <w:rsid w:val="00516D6F"/>
    <w:rsid w:val="00523F3A"/>
    <w:rsid w:val="005323CA"/>
    <w:rsid w:val="00536861"/>
    <w:rsid w:val="0054228E"/>
    <w:rsid w:val="005527D0"/>
    <w:rsid w:val="00553740"/>
    <w:rsid w:val="0055573E"/>
    <w:rsid w:val="00560641"/>
    <w:rsid w:val="00560927"/>
    <w:rsid w:val="005619B2"/>
    <w:rsid w:val="00570569"/>
    <w:rsid w:val="00573124"/>
    <w:rsid w:val="0057435A"/>
    <w:rsid w:val="0057596C"/>
    <w:rsid w:val="00582A60"/>
    <w:rsid w:val="005A3967"/>
    <w:rsid w:val="005B1A82"/>
    <w:rsid w:val="005B3C79"/>
    <w:rsid w:val="005C0DCD"/>
    <w:rsid w:val="005C2BC0"/>
    <w:rsid w:val="005D009A"/>
    <w:rsid w:val="005D1046"/>
    <w:rsid w:val="005D11F6"/>
    <w:rsid w:val="005D308C"/>
    <w:rsid w:val="005E595B"/>
    <w:rsid w:val="005E6777"/>
    <w:rsid w:val="005F68B8"/>
    <w:rsid w:val="0060207D"/>
    <w:rsid w:val="00603B2F"/>
    <w:rsid w:val="00606810"/>
    <w:rsid w:val="0061053F"/>
    <w:rsid w:val="006411E1"/>
    <w:rsid w:val="00641485"/>
    <w:rsid w:val="006423EB"/>
    <w:rsid w:val="006431B6"/>
    <w:rsid w:val="0064658A"/>
    <w:rsid w:val="00647B93"/>
    <w:rsid w:val="00654546"/>
    <w:rsid w:val="00655015"/>
    <w:rsid w:val="00660A2E"/>
    <w:rsid w:val="00660BA0"/>
    <w:rsid w:val="00663885"/>
    <w:rsid w:val="006651E3"/>
    <w:rsid w:val="00666A65"/>
    <w:rsid w:val="00667090"/>
    <w:rsid w:val="00670CCF"/>
    <w:rsid w:val="00672819"/>
    <w:rsid w:val="0067514E"/>
    <w:rsid w:val="00684E96"/>
    <w:rsid w:val="00692657"/>
    <w:rsid w:val="006962E9"/>
    <w:rsid w:val="006976F7"/>
    <w:rsid w:val="006A2905"/>
    <w:rsid w:val="006A3152"/>
    <w:rsid w:val="006A6C0F"/>
    <w:rsid w:val="006B4081"/>
    <w:rsid w:val="006C2F8B"/>
    <w:rsid w:val="006D4A2C"/>
    <w:rsid w:val="006E26CA"/>
    <w:rsid w:val="006E60A6"/>
    <w:rsid w:val="006F6E7C"/>
    <w:rsid w:val="0070112B"/>
    <w:rsid w:val="00705209"/>
    <w:rsid w:val="00707D6C"/>
    <w:rsid w:val="0071619F"/>
    <w:rsid w:val="007166E4"/>
    <w:rsid w:val="00716C59"/>
    <w:rsid w:val="00727234"/>
    <w:rsid w:val="00727D49"/>
    <w:rsid w:val="00741912"/>
    <w:rsid w:val="00751D9F"/>
    <w:rsid w:val="00755735"/>
    <w:rsid w:val="007662CB"/>
    <w:rsid w:val="0077159E"/>
    <w:rsid w:val="007822CA"/>
    <w:rsid w:val="00797DE4"/>
    <w:rsid w:val="007A0051"/>
    <w:rsid w:val="007A173D"/>
    <w:rsid w:val="007A5861"/>
    <w:rsid w:val="007B125F"/>
    <w:rsid w:val="007B29F7"/>
    <w:rsid w:val="007D0A68"/>
    <w:rsid w:val="007D20CF"/>
    <w:rsid w:val="007E3261"/>
    <w:rsid w:val="007E5422"/>
    <w:rsid w:val="007E6887"/>
    <w:rsid w:val="007E6EBC"/>
    <w:rsid w:val="007F6EB3"/>
    <w:rsid w:val="008107F2"/>
    <w:rsid w:val="00835A7A"/>
    <w:rsid w:val="00840359"/>
    <w:rsid w:val="0084046A"/>
    <w:rsid w:val="00860712"/>
    <w:rsid w:val="008646EA"/>
    <w:rsid w:val="0086683F"/>
    <w:rsid w:val="00873B4B"/>
    <w:rsid w:val="00874856"/>
    <w:rsid w:val="00885773"/>
    <w:rsid w:val="008902CE"/>
    <w:rsid w:val="00892D93"/>
    <w:rsid w:val="00893221"/>
    <w:rsid w:val="00893613"/>
    <w:rsid w:val="00894CA1"/>
    <w:rsid w:val="008A0F5F"/>
    <w:rsid w:val="008A546B"/>
    <w:rsid w:val="008A5917"/>
    <w:rsid w:val="008A6DE2"/>
    <w:rsid w:val="008B409B"/>
    <w:rsid w:val="008B4295"/>
    <w:rsid w:val="008B4CF3"/>
    <w:rsid w:val="008C13BE"/>
    <w:rsid w:val="008C529C"/>
    <w:rsid w:val="008D1AF5"/>
    <w:rsid w:val="008D45B8"/>
    <w:rsid w:val="008D61AC"/>
    <w:rsid w:val="008E6CEC"/>
    <w:rsid w:val="008F215B"/>
    <w:rsid w:val="008F23C0"/>
    <w:rsid w:val="008F3EE0"/>
    <w:rsid w:val="00900722"/>
    <w:rsid w:val="00900862"/>
    <w:rsid w:val="00903C54"/>
    <w:rsid w:val="00911674"/>
    <w:rsid w:val="00915F5F"/>
    <w:rsid w:val="00930F43"/>
    <w:rsid w:val="009323FC"/>
    <w:rsid w:val="0094661E"/>
    <w:rsid w:val="00950E96"/>
    <w:rsid w:val="009514A3"/>
    <w:rsid w:val="00951F36"/>
    <w:rsid w:val="00963001"/>
    <w:rsid w:val="00963539"/>
    <w:rsid w:val="0096515E"/>
    <w:rsid w:val="00970313"/>
    <w:rsid w:val="009715DE"/>
    <w:rsid w:val="00980CAA"/>
    <w:rsid w:val="009811F9"/>
    <w:rsid w:val="0098267F"/>
    <w:rsid w:val="009904E6"/>
    <w:rsid w:val="009B195E"/>
    <w:rsid w:val="009C07F7"/>
    <w:rsid w:val="009D043C"/>
    <w:rsid w:val="009D5CAC"/>
    <w:rsid w:val="009D6FA6"/>
    <w:rsid w:val="009E0652"/>
    <w:rsid w:val="009E369B"/>
    <w:rsid w:val="009E5FCA"/>
    <w:rsid w:val="009E681D"/>
    <w:rsid w:val="009E6C81"/>
    <w:rsid w:val="00A00849"/>
    <w:rsid w:val="00A06559"/>
    <w:rsid w:val="00A20C04"/>
    <w:rsid w:val="00A20DB7"/>
    <w:rsid w:val="00A21ED8"/>
    <w:rsid w:val="00A23138"/>
    <w:rsid w:val="00A2760B"/>
    <w:rsid w:val="00A41199"/>
    <w:rsid w:val="00A42E59"/>
    <w:rsid w:val="00A4447D"/>
    <w:rsid w:val="00A47DE9"/>
    <w:rsid w:val="00A50921"/>
    <w:rsid w:val="00A5270F"/>
    <w:rsid w:val="00A53127"/>
    <w:rsid w:val="00A56333"/>
    <w:rsid w:val="00A668D0"/>
    <w:rsid w:val="00A70788"/>
    <w:rsid w:val="00A73FD8"/>
    <w:rsid w:val="00A745D0"/>
    <w:rsid w:val="00A7530C"/>
    <w:rsid w:val="00A81AD0"/>
    <w:rsid w:val="00A82CA8"/>
    <w:rsid w:val="00A83369"/>
    <w:rsid w:val="00A91172"/>
    <w:rsid w:val="00A935FC"/>
    <w:rsid w:val="00AB5FC3"/>
    <w:rsid w:val="00AD7690"/>
    <w:rsid w:val="00AF0622"/>
    <w:rsid w:val="00AF08F5"/>
    <w:rsid w:val="00AF3826"/>
    <w:rsid w:val="00B01DF5"/>
    <w:rsid w:val="00B027CB"/>
    <w:rsid w:val="00B07C6D"/>
    <w:rsid w:val="00B14808"/>
    <w:rsid w:val="00B2457E"/>
    <w:rsid w:val="00B26BC6"/>
    <w:rsid w:val="00B31B61"/>
    <w:rsid w:val="00B34921"/>
    <w:rsid w:val="00B4092F"/>
    <w:rsid w:val="00B45122"/>
    <w:rsid w:val="00B45C13"/>
    <w:rsid w:val="00B52138"/>
    <w:rsid w:val="00B538C9"/>
    <w:rsid w:val="00B607C3"/>
    <w:rsid w:val="00B7091B"/>
    <w:rsid w:val="00B81427"/>
    <w:rsid w:val="00B84180"/>
    <w:rsid w:val="00B90796"/>
    <w:rsid w:val="00B93733"/>
    <w:rsid w:val="00BA7709"/>
    <w:rsid w:val="00BD191F"/>
    <w:rsid w:val="00BD4DC5"/>
    <w:rsid w:val="00BD6FDF"/>
    <w:rsid w:val="00BD73FF"/>
    <w:rsid w:val="00BF0D69"/>
    <w:rsid w:val="00BF30BE"/>
    <w:rsid w:val="00C0040E"/>
    <w:rsid w:val="00C036E9"/>
    <w:rsid w:val="00C0403B"/>
    <w:rsid w:val="00C2362B"/>
    <w:rsid w:val="00C25F6D"/>
    <w:rsid w:val="00C346E8"/>
    <w:rsid w:val="00C360E4"/>
    <w:rsid w:val="00C476B1"/>
    <w:rsid w:val="00C53F55"/>
    <w:rsid w:val="00C56805"/>
    <w:rsid w:val="00C57258"/>
    <w:rsid w:val="00C60674"/>
    <w:rsid w:val="00C62543"/>
    <w:rsid w:val="00C645FB"/>
    <w:rsid w:val="00C64C33"/>
    <w:rsid w:val="00C6630F"/>
    <w:rsid w:val="00C70896"/>
    <w:rsid w:val="00C70BB1"/>
    <w:rsid w:val="00C8729F"/>
    <w:rsid w:val="00CA0906"/>
    <w:rsid w:val="00CA56D0"/>
    <w:rsid w:val="00CB0A16"/>
    <w:rsid w:val="00CB0CF9"/>
    <w:rsid w:val="00CB6925"/>
    <w:rsid w:val="00CD54DB"/>
    <w:rsid w:val="00CE13D6"/>
    <w:rsid w:val="00CE4342"/>
    <w:rsid w:val="00CE7E5D"/>
    <w:rsid w:val="00CF0E2A"/>
    <w:rsid w:val="00D05728"/>
    <w:rsid w:val="00D20D04"/>
    <w:rsid w:val="00D21231"/>
    <w:rsid w:val="00D22D6B"/>
    <w:rsid w:val="00D23F32"/>
    <w:rsid w:val="00D31750"/>
    <w:rsid w:val="00D31F88"/>
    <w:rsid w:val="00D430FC"/>
    <w:rsid w:val="00D437CB"/>
    <w:rsid w:val="00D45657"/>
    <w:rsid w:val="00D607E0"/>
    <w:rsid w:val="00D6470F"/>
    <w:rsid w:val="00D66863"/>
    <w:rsid w:val="00D66FCA"/>
    <w:rsid w:val="00D71C01"/>
    <w:rsid w:val="00D73FA2"/>
    <w:rsid w:val="00DA5A07"/>
    <w:rsid w:val="00DB418D"/>
    <w:rsid w:val="00DB5139"/>
    <w:rsid w:val="00DB712A"/>
    <w:rsid w:val="00DC43F9"/>
    <w:rsid w:val="00DD4845"/>
    <w:rsid w:val="00DD68E7"/>
    <w:rsid w:val="00DD74C5"/>
    <w:rsid w:val="00DE6539"/>
    <w:rsid w:val="00DF2D0E"/>
    <w:rsid w:val="00E12F2A"/>
    <w:rsid w:val="00E148FC"/>
    <w:rsid w:val="00E150F5"/>
    <w:rsid w:val="00E1682B"/>
    <w:rsid w:val="00E24A3B"/>
    <w:rsid w:val="00E3020A"/>
    <w:rsid w:val="00E3382D"/>
    <w:rsid w:val="00E3393A"/>
    <w:rsid w:val="00E3398E"/>
    <w:rsid w:val="00E421E9"/>
    <w:rsid w:val="00E42C39"/>
    <w:rsid w:val="00E43516"/>
    <w:rsid w:val="00E4570C"/>
    <w:rsid w:val="00E4620B"/>
    <w:rsid w:val="00E533E6"/>
    <w:rsid w:val="00E54C3E"/>
    <w:rsid w:val="00E57011"/>
    <w:rsid w:val="00E600DE"/>
    <w:rsid w:val="00E60265"/>
    <w:rsid w:val="00E6388C"/>
    <w:rsid w:val="00E74A1E"/>
    <w:rsid w:val="00E76026"/>
    <w:rsid w:val="00E765F1"/>
    <w:rsid w:val="00E77FF0"/>
    <w:rsid w:val="00E82D0C"/>
    <w:rsid w:val="00E830D2"/>
    <w:rsid w:val="00E879FA"/>
    <w:rsid w:val="00EA0B2C"/>
    <w:rsid w:val="00EA3806"/>
    <w:rsid w:val="00EA7E48"/>
    <w:rsid w:val="00EB333E"/>
    <w:rsid w:val="00EC150F"/>
    <w:rsid w:val="00ED0E1F"/>
    <w:rsid w:val="00ED7098"/>
    <w:rsid w:val="00EE52BD"/>
    <w:rsid w:val="00EF21AD"/>
    <w:rsid w:val="00EF53B7"/>
    <w:rsid w:val="00F123F3"/>
    <w:rsid w:val="00F20858"/>
    <w:rsid w:val="00F272C2"/>
    <w:rsid w:val="00F30D6C"/>
    <w:rsid w:val="00F31F48"/>
    <w:rsid w:val="00F32061"/>
    <w:rsid w:val="00F33FD5"/>
    <w:rsid w:val="00F35293"/>
    <w:rsid w:val="00F43C38"/>
    <w:rsid w:val="00F5006B"/>
    <w:rsid w:val="00F56B04"/>
    <w:rsid w:val="00F65BF8"/>
    <w:rsid w:val="00F71398"/>
    <w:rsid w:val="00F71A76"/>
    <w:rsid w:val="00F821F9"/>
    <w:rsid w:val="00F866C0"/>
    <w:rsid w:val="00F90573"/>
    <w:rsid w:val="00F97E01"/>
    <w:rsid w:val="00FA0B15"/>
    <w:rsid w:val="00FA7BBC"/>
    <w:rsid w:val="00FB0165"/>
    <w:rsid w:val="00FB0DEC"/>
    <w:rsid w:val="00FC2F86"/>
    <w:rsid w:val="00FE4986"/>
    <w:rsid w:val="00FF4F73"/>
    <w:rsid w:val="00FF53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04"/>
    <w:pPr>
      <w:spacing w:before="40"/>
    </w:pPr>
    <w:rPr>
      <w:rFonts w:ascii="Arial" w:hAnsi="Arial" w:cs="Arial"/>
      <w:szCs w:val="22"/>
    </w:rPr>
  </w:style>
  <w:style w:type="paragraph" w:styleId="Heading1">
    <w:name w:val="heading 1"/>
    <w:basedOn w:val="Normal"/>
    <w:next w:val="Normal"/>
    <w:link w:val="Heading1Char"/>
    <w:uiPriority w:val="99"/>
    <w:qFormat/>
    <w:rsid w:val="00D20D04"/>
    <w:pPr>
      <w:autoSpaceDE w:val="0"/>
      <w:autoSpaceDN w:val="0"/>
      <w:adjustRightInd w:val="0"/>
      <w:spacing w:before="0"/>
      <w:outlineLvl w:val="0"/>
    </w:pPr>
    <w:rPr>
      <w:b/>
      <w:bCs/>
      <w:color w:val="000000"/>
      <w:sz w:val="28"/>
      <w:szCs w:val="28"/>
    </w:rPr>
  </w:style>
  <w:style w:type="paragraph" w:styleId="Heading2">
    <w:name w:val="heading 2"/>
    <w:basedOn w:val="Normal"/>
    <w:next w:val="Normal"/>
    <w:link w:val="Heading2Char"/>
    <w:uiPriority w:val="99"/>
    <w:qFormat/>
    <w:rsid w:val="00D20D04"/>
    <w:pPr>
      <w:shd w:val="pct15" w:color="auto" w:fill="auto"/>
      <w:spacing w:before="0"/>
      <w:outlineLvl w:val="1"/>
    </w:pPr>
    <w:rPr>
      <w:b/>
      <w:sz w:val="22"/>
      <w:szCs w:val="19"/>
    </w:rPr>
  </w:style>
  <w:style w:type="paragraph" w:styleId="Heading3">
    <w:name w:val="heading 3"/>
    <w:basedOn w:val="Normal"/>
    <w:next w:val="Normal"/>
    <w:link w:val="Heading3Char"/>
    <w:uiPriority w:val="99"/>
    <w:qFormat/>
    <w:rsid w:val="00ED0E1F"/>
    <w:pPr>
      <w:outlineLvl w:val="2"/>
    </w:pPr>
    <w:rPr>
      <w:b/>
      <w:bCs/>
    </w:rPr>
  </w:style>
  <w:style w:type="paragraph" w:styleId="Heading4">
    <w:name w:val="heading 4"/>
    <w:basedOn w:val="Normal"/>
    <w:next w:val="Normal"/>
    <w:link w:val="Heading4Char"/>
    <w:uiPriority w:val="99"/>
    <w:qFormat/>
    <w:rsid w:val="00262900"/>
    <w:pPr>
      <w:keepNext/>
      <w:numPr>
        <w:ilvl w:val="12"/>
      </w:numPr>
      <w:outlineLvl w:val="3"/>
    </w:pPr>
    <w:rPr>
      <w:rFonts w:ascii="Tahoma" w:hAnsi="Tahoma" w:cs="Tahoma"/>
      <w:b/>
      <w:bCs/>
      <w:szCs w:val="20"/>
    </w:rPr>
  </w:style>
  <w:style w:type="paragraph" w:styleId="Heading5">
    <w:name w:val="heading 5"/>
    <w:basedOn w:val="Normal"/>
    <w:next w:val="Normal"/>
    <w:link w:val="Heading5Char"/>
    <w:uiPriority w:val="99"/>
    <w:qFormat/>
    <w:rsid w:val="00262900"/>
    <w:pPr>
      <w:keepNext/>
      <w:outlineLvl w:val="4"/>
    </w:pPr>
    <w:rPr>
      <w:rFonts w:cs="Times New Roman"/>
      <w:b/>
      <w:bCs/>
      <w:szCs w:val="20"/>
      <w:u w:val="single"/>
    </w:rPr>
  </w:style>
  <w:style w:type="paragraph" w:styleId="Heading6">
    <w:name w:val="heading 6"/>
    <w:basedOn w:val="Normal"/>
    <w:next w:val="Normal"/>
    <w:link w:val="Heading6Char"/>
    <w:uiPriority w:val="99"/>
    <w:qFormat/>
    <w:rsid w:val="00262900"/>
    <w:pPr>
      <w:keepNext/>
      <w:jc w:val="center"/>
      <w:outlineLvl w:val="5"/>
    </w:pPr>
    <w:rPr>
      <w:rFonts w:ascii="Tahoma" w:hAnsi="Tahoma" w:cs="Tahoma"/>
      <w:b/>
      <w:bCs/>
      <w:color w:val="000000"/>
    </w:rPr>
  </w:style>
  <w:style w:type="paragraph" w:styleId="Heading7">
    <w:name w:val="heading 7"/>
    <w:basedOn w:val="Normal"/>
    <w:next w:val="Normal"/>
    <w:link w:val="Heading7Char"/>
    <w:uiPriority w:val="99"/>
    <w:qFormat/>
    <w:rsid w:val="00262900"/>
    <w:pPr>
      <w:keepNext/>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D04"/>
    <w:rPr>
      <w:rFonts w:ascii="Arial" w:hAnsi="Arial" w:cs="Arial"/>
      <w:b/>
      <w:bCs/>
      <w:color w:val="000000"/>
      <w:sz w:val="28"/>
      <w:szCs w:val="28"/>
    </w:rPr>
  </w:style>
  <w:style w:type="character" w:customStyle="1" w:styleId="Heading2Char">
    <w:name w:val="Heading 2 Char"/>
    <w:basedOn w:val="DefaultParagraphFont"/>
    <w:link w:val="Heading2"/>
    <w:uiPriority w:val="99"/>
    <w:rsid w:val="00D20D04"/>
    <w:rPr>
      <w:rFonts w:ascii="Arial" w:hAnsi="Arial" w:cs="Arial"/>
      <w:b/>
      <w:sz w:val="22"/>
      <w:szCs w:val="19"/>
      <w:shd w:val="pct15" w:color="auto" w:fill="auto"/>
    </w:rPr>
  </w:style>
  <w:style w:type="character" w:customStyle="1" w:styleId="Heading3Char">
    <w:name w:val="Heading 3 Char"/>
    <w:basedOn w:val="DefaultParagraphFont"/>
    <w:link w:val="Heading3"/>
    <w:uiPriority w:val="99"/>
    <w:rsid w:val="00ED0E1F"/>
    <w:rPr>
      <w:rFonts w:ascii="Arial" w:hAnsi="Arial" w:cs="Arial"/>
      <w:b/>
      <w:bCs/>
      <w:szCs w:val="22"/>
    </w:rPr>
  </w:style>
  <w:style w:type="character" w:customStyle="1" w:styleId="Heading4Char">
    <w:name w:val="Heading 4 Char"/>
    <w:basedOn w:val="DefaultParagraphFont"/>
    <w:link w:val="Heading4"/>
    <w:uiPriority w:val="99"/>
    <w:semiHidden/>
    <w:rsid w:val="00860712"/>
    <w:rPr>
      <w:rFonts w:ascii="Calibri" w:hAnsi="Calibri" w:cs="Calibri"/>
      <w:b/>
      <w:bCs/>
      <w:sz w:val="28"/>
      <w:szCs w:val="28"/>
    </w:rPr>
  </w:style>
  <w:style w:type="character" w:customStyle="1" w:styleId="Heading5Char">
    <w:name w:val="Heading 5 Char"/>
    <w:basedOn w:val="DefaultParagraphFont"/>
    <w:link w:val="Heading5"/>
    <w:uiPriority w:val="99"/>
    <w:semiHidden/>
    <w:rsid w:val="00860712"/>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860712"/>
    <w:rPr>
      <w:rFonts w:ascii="Calibri" w:hAnsi="Calibri" w:cs="Calibri"/>
      <w:b/>
      <w:bCs/>
    </w:rPr>
  </w:style>
  <w:style w:type="character" w:customStyle="1" w:styleId="Heading7Char">
    <w:name w:val="Heading 7 Char"/>
    <w:basedOn w:val="DefaultParagraphFont"/>
    <w:link w:val="Heading7"/>
    <w:uiPriority w:val="99"/>
    <w:semiHidden/>
    <w:rsid w:val="00860712"/>
    <w:rPr>
      <w:rFonts w:ascii="Calibri" w:hAnsi="Calibri" w:cs="Calibri"/>
      <w:sz w:val="24"/>
      <w:szCs w:val="24"/>
    </w:rPr>
  </w:style>
  <w:style w:type="paragraph" w:styleId="BodyText">
    <w:name w:val="Body Text"/>
    <w:basedOn w:val="Normal"/>
    <w:link w:val="BodyTextChar"/>
    <w:uiPriority w:val="99"/>
    <w:rsid w:val="00262900"/>
    <w:rPr>
      <w:rFonts w:ascii="Tahoma" w:hAnsi="Tahoma" w:cs="Tahoma"/>
      <w:szCs w:val="20"/>
    </w:rPr>
  </w:style>
  <w:style w:type="character" w:customStyle="1" w:styleId="BodyTextChar">
    <w:name w:val="Body Text Char"/>
    <w:basedOn w:val="DefaultParagraphFont"/>
    <w:link w:val="BodyText"/>
    <w:uiPriority w:val="99"/>
    <w:semiHidden/>
    <w:rsid w:val="00860712"/>
    <w:rPr>
      <w:rFonts w:ascii="Arial" w:hAnsi="Arial" w:cs="Arial"/>
    </w:rPr>
  </w:style>
  <w:style w:type="paragraph" w:styleId="BodyText2">
    <w:name w:val="Body Text 2"/>
    <w:basedOn w:val="Normal"/>
    <w:link w:val="BodyText2Char"/>
    <w:uiPriority w:val="99"/>
    <w:rsid w:val="00262900"/>
    <w:pPr>
      <w:jc w:val="center"/>
    </w:pPr>
    <w:rPr>
      <w:rFonts w:ascii="Tahoma" w:hAnsi="Tahoma" w:cs="Tahoma"/>
      <w:szCs w:val="20"/>
    </w:rPr>
  </w:style>
  <w:style w:type="character" w:customStyle="1" w:styleId="BodyText2Char">
    <w:name w:val="Body Text 2 Char"/>
    <w:basedOn w:val="DefaultParagraphFont"/>
    <w:link w:val="BodyText2"/>
    <w:uiPriority w:val="99"/>
    <w:semiHidden/>
    <w:rsid w:val="00860712"/>
    <w:rPr>
      <w:rFonts w:ascii="Arial" w:hAnsi="Arial" w:cs="Arial"/>
    </w:rPr>
  </w:style>
  <w:style w:type="paragraph" w:styleId="BodyText3">
    <w:name w:val="Body Text 3"/>
    <w:basedOn w:val="Normal"/>
    <w:link w:val="BodyText3Char"/>
    <w:rsid w:val="00262900"/>
    <w:pPr>
      <w:numPr>
        <w:ilvl w:val="12"/>
      </w:numPr>
    </w:pPr>
    <w:rPr>
      <w:rFonts w:ascii="Tahoma" w:hAnsi="Tahoma" w:cs="Tahoma"/>
      <w:b/>
      <w:bCs/>
      <w:i/>
      <w:iCs/>
      <w:szCs w:val="20"/>
    </w:rPr>
  </w:style>
  <w:style w:type="character" w:customStyle="1" w:styleId="BodyText3Char">
    <w:name w:val="Body Text 3 Char"/>
    <w:basedOn w:val="DefaultParagraphFont"/>
    <w:link w:val="BodyText3"/>
    <w:uiPriority w:val="99"/>
    <w:semiHidden/>
    <w:rsid w:val="00860712"/>
    <w:rPr>
      <w:rFonts w:ascii="Arial" w:hAnsi="Arial" w:cs="Arial"/>
      <w:sz w:val="16"/>
      <w:szCs w:val="16"/>
    </w:rPr>
  </w:style>
  <w:style w:type="paragraph" w:styleId="BodyTextIndent2">
    <w:name w:val="Body Text Indent 2"/>
    <w:basedOn w:val="Normal"/>
    <w:link w:val="BodyTextIndent2Char"/>
    <w:uiPriority w:val="99"/>
    <w:rsid w:val="00262900"/>
    <w:pPr>
      <w:ind w:firstLine="360"/>
    </w:pPr>
    <w:rPr>
      <w:rFonts w:cs="Times New Roman"/>
      <w:szCs w:val="20"/>
    </w:rPr>
  </w:style>
  <w:style w:type="character" w:customStyle="1" w:styleId="BodyTextIndent2Char">
    <w:name w:val="Body Text Indent 2 Char"/>
    <w:basedOn w:val="DefaultParagraphFont"/>
    <w:link w:val="BodyTextIndent2"/>
    <w:uiPriority w:val="99"/>
    <w:semiHidden/>
    <w:rsid w:val="00860712"/>
    <w:rPr>
      <w:rFonts w:ascii="Arial" w:hAnsi="Arial" w:cs="Arial"/>
    </w:rPr>
  </w:style>
  <w:style w:type="paragraph" w:styleId="Header">
    <w:name w:val="header"/>
    <w:basedOn w:val="Normal"/>
    <w:link w:val="HeaderChar"/>
    <w:uiPriority w:val="99"/>
    <w:rsid w:val="00262900"/>
    <w:pPr>
      <w:tabs>
        <w:tab w:val="center" w:pos="4153"/>
        <w:tab w:val="right" w:pos="8306"/>
      </w:tabs>
    </w:pPr>
    <w:rPr>
      <w:rFonts w:cs="Times New Roman"/>
      <w:sz w:val="24"/>
      <w:szCs w:val="24"/>
    </w:rPr>
  </w:style>
  <w:style w:type="character" w:customStyle="1" w:styleId="HeaderChar">
    <w:name w:val="Header Char"/>
    <w:basedOn w:val="DefaultParagraphFont"/>
    <w:link w:val="Header"/>
    <w:uiPriority w:val="99"/>
    <w:semiHidden/>
    <w:rsid w:val="00860712"/>
    <w:rPr>
      <w:rFonts w:ascii="Arial" w:hAnsi="Arial" w:cs="Arial"/>
    </w:rPr>
  </w:style>
  <w:style w:type="paragraph" w:styleId="Footer">
    <w:name w:val="footer"/>
    <w:basedOn w:val="Normal"/>
    <w:link w:val="FooterChar"/>
    <w:uiPriority w:val="99"/>
    <w:rsid w:val="00262900"/>
    <w:pPr>
      <w:tabs>
        <w:tab w:val="center" w:pos="4153"/>
        <w:tab w:val="right" w:pos="8306"/>
      </w:tabs>
    </w:pPr>
  </w:style>
  <w:style w:type="character" w:customStyle="1" w:styleId="FooterChar">
    <w:name w:val="Footer Char"/>
    <w:basedOn w:val="DefaultParagraphFont"/>
    <w:link w:val="Footer"/>
    <w:uiPriority w:val="99"/>
    <w:rsid w:val="00EF21AD"/>
    <w:rPr>
      <w:rFonts w:ascii="Arial" w:hAnsi="Arial" w:cs="Arial"/>
      <w:sz w:val="22"/>
      <w:szCs w:val="22"/>
    </w:rPr>
  </w:style>
  <w:style w:type="character" w:styleId="Hyperlink">
    <w:name w:val="Hyperlink"/>
    <w:basedOn w:val="DefaultParagraphFont"/>
    <w:uiPriority w:val="99"/>
    <w:rsid w:val="00262900"/>
    <w:rPr>
      <w:rFonts w:cs="Times New Roman"/>
      <w:color w:val="0000FF"/>
      <w:u w:val="single"/>
    </w:rPr>
  </w:style>
  <w:style w:type="character" w:styleId="FollowedHyperlink">
    <w:name w:val="FollowedHyperlink"/>
    <w:basedOn w:val="DefaultParagraphFont"/>
    <w:uiPriority w:val="99"/>
    <w:rsid w:val="00262900"/>
    <w:rPr>
      <w:rFonts w:cs="Times New Roman"/>
      <w:color w:val="800080"/>
      <w:u w:val="single"/>
    </w:rPr>
  </w:style>
  <w:style w:type="table" w:styleId="TableGrid">
    <w:name w:val="Table Grid"/>
    <w:basedOn w:val="TableNormal"/>
    <w:uiPriority w:val="99"/>
    <w:rsid w:val="00FA7BB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contents">
    <w:name w:val="Heading contents"/>
    <w:basedOn w:val="Heading3"/>
    <w:uiPriority w:val="99"/>
    <w:rsid w:val="008B409B"/>
    <w:rPr>
      <w:sz w:val="24"/>
      <w:szCs w:val="24"/>
      <w:lang w:eastAsia="en-US"/>
    </w:rPr>
  </w:style>
  <w:style w:type="paragraph" w:styleId="NormalWeb">
    <w:name w:val="Normal (Web)"/>
    <w:basedOn w:val="Normal"/>
    <w:uiPriority w:val="99"/>
    <w:rsid w:val="003E18FF"/>
    <w:pPr>
      <w:spacing w:before="100" w:beforeAutospacing="1" w:after="51"/>
    </w:pPr>
    <w:rPr>
      <w:rFonts w:cs="Times New Roman"/>
      <w:color w:val="000000"/>
      <w:sz w:val="24"/>
      <w:szCs w:val="24"/>
    </w:rPr>
  </w:style>
  <w:style w:type="paragraph" w:customStyle="1" w:styleId="Default">
    <w:name w:val="Default"/>
    <w:rsid w:val="003E18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57435A"/>
    <w:rPr>
      <w:rFonts w:cs="Times New Roman"/>
      <w:sz w:val="16"/>
      <w:szCs w:val="16"/>
    </w:rPr>
  </w:style>
  <w:style w:type="paragraph" w:styleId="CommentText">
    <w:name w:val="annotation text"/>
    <w:basedOn w:val="Normal"/>
    <w:link w:val="CommentTextChar"/>
    <w:uiPriority w:val="99"/>
    <w:semiHidden/>
    <w:rsid w:val="0057435A"/>
    <w:rPr>
      <w:szCs w:val="20"/>
    </w:rPr>
  </w:style>
  <w:style w:type="character" w:customStyle="1" w:styleId="CommentTextChar">
    <w:name w:val="Comment Text Char"/>
    <w:basedOn w:val="DefaultParagraphFont"/>
    <w:link w:val="CommentText"/>
    <w:uiPriority w:val="99"/>
    <w:rsid w:val="0057435A"/>
    <w:rPr>
      <w:rFonts w:ascii="Arial" w:hAnsi="Arial" w:cs="Arial"/>
    </w:rPr>
  </w:style>
  <w:style w:type="paragraph" w:styleId="CommentSubject">
    <w:name w:val="annotation subject"/>
    <w:basedOn w:val="CommentText"/>
    <w:next w:val="CommentText"/>
    <w:link w:val="CommentSubjectChar"/>
    <w:uiPriority w:val="99"/>
    <w:semiHidden/>
    <w:rsid w:val="0057435A"/>
    <w:rPr>
      <w:b/>
      <w:bCs/>
    </w:rPr>
  </w:style>
  <w:style w:type="character" w:customStyle="1" w:styleId="CommentSubjectChar">
    <w:name w:val="Comment Subject Char"/>
    <w:basedOn w:val="CommentTextChar"/>
    <w:link w:val="CommentSubject"/>
    <w:uiPriority w:val="99"/>
    <w:rsid w:val="0057435A"/>
    <w:rPr>
      <w:rFonts w:ascii="Arial" w:hAnsi="Arial" w:cs="Arial"/>
      <w:b/>
      <w:bCs/>
    </w:rPr>
  </w:style>
  <w:style w:type="paragraph" w:styleId="BalloonText">
    <w:name w:val="Balloon Text"/>
    <w:basedOn w:val="Normal"/>
    <w:link w:val="BalloonTextChar"/>
    <w:uiPriority w:val="99"/>
    <w:semiHidden/>
    <w:rsid w:val="0057435A"/>
    <w:rPr>
      <w:rFonts w:ascii="Tahoma" w:hAnsi="Tahoma" w:cs="Tahoma"/>
      <w:sz w:val="16"/>
      <w:szCs w:val="16"/>
    </w:rPr>
  </w:style>
  <w:style w:type="character" w:customStyle="1" w:styleId="BalloonTextChar">
    <w:name w:val="Balloon Text Char"/>
    <w:basedOn w:val="DefaultParagraphFont"/>
    <w:link w:val="BalloonText"/>
    <w:uiPriority w:val="99"/>
    <w:rsid w:val="0057435A"/>
    <w:rPr>
      <w:rFonts w:ascii="Tahoma" w:hAnsi="Tahoma" w:cs="Tahoma"/>
      <w:sz w:val="16"/>
      <w:szCs w:val="16"/>
    </w:rPr>
  </w:style>
  <w:style w:type="paragraph" w:styleId="EndnoteText">
    <w:name w:val="endnote text"/>
    <w:basedOn w:val="Normal"/>
    <w:link w:val="EndnoteTextChar"/>
    <w:uiPriority w:val="99"/>
    <w:semiHidden/>
    <w:unhideWhenUsed/>
    <w:rsid w:val="00213871"/>
    <w:rPr>
      <w:szCs w:val="20"/>
    </w:rPr>
  </w:style>
  <w:style w:type="character" w:customStyle="1" w:styleId="EndnoteTextChar">
    <w:name w:val="Endnote Text Char"/>
    <w:basedOn w:val="DefaultParagraphFont"/>
    <w:link w:val="EndnoteText"/>
    <w:uiPriority w:val="99"/>
    <w:semiHidden/>
    <w:rsid w:val="00213871"/>
    <w:rPr>
      <w:rFonts w:ascii="Arial" w:hAnsi="Arial" w:cs="Arial"/>
    </w:rPr>
  </w:style>
  <w:style w:type="character" w:styleId="EndnoteReference">
    <w:name w:val="endnote reference"/>
    <w:basedOn w:val="DefaultParagraphFont"/>
    <w:uiPriority w:val="99"/>
    <w:semiHidden/>
    <w:unhideWhenUsed/>
    <w:rsid w:val="00213871"/>
    <w:rPr>
      <w:vertAlign w:val="superscript"/>
    </w:rPr>
  </w:style>
  <w:style w:type="paragraph" w:styleId="ListParagraph">
    <w:name w:val="List Paragraph"/>
    <w:basedOn w:val="Normal"/>
    <w:uiPriority w:val="34"/>
    <w:qFormat/>
    <w:rsid w:val="00D20D04"/>
    <w:pPr>
      <w:numPr>
        <w:numId w:val="22"/>
      </w:numPr>
    </w:pPr>
    <w:rPr>
      <w:bCs/>
      <w:iCs/>
    </w:rPr>
  </w:style>
  <w:style w:type="character" w:customStyle="1" w:styleId="UnresolvedMention1">
    <w:name w:val="Unresolved Mention1"/>
    <w:basedOn w:val="DefaultParagraphFont"/>
    <w:uiPriority w:val="99"/>
    <w:semiHidden/>
    <w:unhideWhenUsed/>
    <w:rsid w:val="004D5FF2"/>
    <w:rPr>
      <w:color w:val="605E5C"/>
      <w:shd w:val="clear" w:color="auto" w:fill="E1DFDD"/>
    </w:rPr>
  </w:style>
  <w:style w:type="character" w:customStyle="1" w:styleId="UnresolvedMention">
    <w:name w:val="Unresolved Mention"/>
    <w:basedOn w:val="DefaultParagraphFont"/>
    <w:uiPriority w:val="99"/>
    <w:semiHidden/>
    <w:unhideWhenUsed/>
    <w:rsid w:val="002970C2"/>
    <w:rPr>
      <w:color w:val="605E5C"/>
      <w:shd w:val="clear" w:color="auto" w:fill="E1DFDD"/>
    </w:rPr>
  </w:style>
  <w:style w:type="character" w:customStyle="1" w:styleId="NoSpacingChar">
    <w:name w:val="No Spacing Char"/>
    <w:basedOn w:val="DefaultParagraphFont"/>
    <w:link w:val="NoSpacing"/>
    <w:uiPriority w:val="1"/>
    <w:locked/>
    <w:rsid w:val="00900722"/>
  </w:style>
  <w:style w:type="paragraph" w:styleId="NoSpacing">
    <w:name w:val="No Spacing"/>
    <w:link w:val="NoSpacingChar"/>
    <w:uiPriority w:val="1"/>
    <w:qFormat/>
    <w:rsid w:val="00900722"/>
  </w:style>
</w:styles>
</file>

<file path=word/webSettings.xml><?xml version="1.0" encoding="utf-8"?>
<w:webSettings xmlns:r="http://schemas.openxmlformats.org/officeDocument/2006/relationships" xmlns:w="http://schemas.openxmlformats.org/wordprocessingml/2006/main">
  <w:divs>
    <w:div w:id="347146575">
      <w:bodyDiv w:val="1"/>
      <w:marLeft w:val="0"/>
      <w:marRight w:val="0"/>
      <w:marTop w:val="0"/>
      <w:marBottom w:val="0"/>
      <w:divBdr>
        <w:top w:val="none" w:sz="0" w:space="0" w:color="auto"/>
        <w:left w:val="none" w:sz="0" w:space="0" w:color="auto"/>
        <w:bottom w:val="none" w:sz="0" w:space="0" w:color="auto"/>
        <w:right w:val="none" w:sz="0" w:space="0" w:color="auto"/>
      </w:divBdr>
    </w:div>
    <w:div w:id="995845176">
      <w:marLeft w:val="0"/>
      <w:marRight w:val="0"/>
      <w:marTop w:val="0"/>
      <w:marBottom w:val="0"/>
      <w:divBdr>
        <w:top w:val="none" w:sz="0" w:space="0" w:color="auto"/>
        <w:left w:val="none" w:sz="0" w:space="0" w:color="auto"/>
        <w:bottom w:val="none" w:sz="0" w:space="0" w:color="auto"/>
        <w:right w:val="none" w:sz="0" w:space="0" w:color="auto"/>
      </w:divBdr>
    </w:div>
    <w:div w:id="995845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f.org" TargetMode="External"/><Relationship Id="rId18" Type="http://schemas.openxmlformats.org/officeDocument/2006/relationships/hyperlink" Target="http://www.medicines.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licyonline.nhslothian.scot/Policies/Pages/safe-use-of-medicines-policy.aspx" TargetMode="External"/><Relationship Id="rId17" Type="http://schemas.openxmlformats.org/officeDocument/2006/relationships/hyperlink" Target="http://www.medicines.org.uk" TargetMode="External"/><Relationship Id="rId2" Type="http://schemas.openxmlformats.org/officeDocument/2006/relationships/customXml" Target="../customXml/item2.xml"/><Relationship Id="rId16" Type="http://schemas.openxmlformats.org/officeDocument/2006/relationships/hyperlink" Target="http://www.medicine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dicin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in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Safe Use of Medicines</TermName>
          <TermId xmlns="http://schemas.microsoft.com/office/infopath/2007/PartnerControls">0e2babba-6d78-45c7-84e7-97c388846e06</TermId>
        </TermInfo>
      </Terms>
    </a3891cf789b9439ca4cb54ac29870ccd>
    <TaxCatchAll xmlns="97c6ce5b-a9e5-4aec-a3cd-6018d305bc82"/>
    <Point_x0020_of_x0020_contact_x0020__x0028_author_x002c__x0020_if_x0020_possible_x0029_ xmlns="f6c29f53-81bf-4026-a7b1-08cdc5d8dcfc">Anne Gilchrist</Point_x0020_of_x0020_contact_x0020__x0028_author_x002c__x0020_if_x0020_possible_x0029_>
    <version_x0020_number xmlns="f6c29f53-81bf-4026-a7b1-08cdc5d8dcfc" xsi:nil="true"/>
    <g44543c373234c5890ddca0d162f654b xmlns="f6c29f53-81bf-4026-a7b1-08cdc5d8dcfc">
      <Terms xmlns="http://schemas.microsoft.com/office/infopath/2007/PartnerControls"/>
    </g44543c373234c5890ddca0d162f654b>
    <Group xmlns="f6c29f53-81bf-4026-a7b1-08cdc5d8dcfc">Shared Care of Medicines</Group>
    <TaxKeywordTaxHTField xmlns="97c6ce5b-a9e5-4aec-a3cd-6018d305bc8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6C1A-1076-453A-BC11-73CE133B13F8}"/>
</file>

<file path=customXml/itemProps2.xml><?xml version="1.0" encoding="utf-8"?>
<ds:datastoreItem xmlns:ds="http://schemas.openxmlformats.org/officeDocument/2006/customXml" ds:itemID="{1830D0BE-95A1-4EB6-A748-BAAE862A6077}">
  <ds:schemaRefs>
    <ds:schemaRef ds:uri="http://www.w3.org/XML/1998/namespace"/>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A34E798-496A-4793-8B5E-ACF330379B57}">
  <ds:schemaRefs>
    <ds:schemaRef ds:uri="http://schemas.microsoft.com/sharepoint/v3/contenttype/forms"/>
  </ds:schemaRefs>
</ds:datastoreItem>
</file>

<file path=customXml/itemProps4.xml><?xml version="1.0" encoding="utf-8"?>
<ds:datastoreItem xmlns:ds="http://schemas.openxmlformats.org/officeDocument/2006/customXml" ds:itemID="{C6407779-1F12-4732-A911-BC6149D2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Shared Care Agreement Template</vt:lpstr>
    </vt:vector>
  </TitlesOfParts>
  <Company>NHS Lothian</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Care Agreement Template</dc:title>
  <dc:creator>A Young A Gilchrist</dc:creator>
  <cp:lastModifiedBy>Rhian Thompson</cp:lastModifiedBy>
  <cp:revision>2</cp:revision>
  <cp:lastPrinted>2022-01-19T12:30:00Z</cp:lastPrinted>
  <dcterms:created xsi:type="dcterms:W3CDTF">2022-02-17T09:58:00Z</dcterms:created>
  <dcterms:modified xsi:type="dcterms:W3CDTF">2022-02-17T09:58:00Z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TaxKeyword">
    <vt:lpwstr/>
  </property>
  <property fmtid="{D5CDD505-2E9C-101B-9397-08002B2CF9AE}" pid="4" name="Policy">
    <vt:lpwstr>32;#Safe Use of Medicines|0e2babba-6d78-45c7-84e7-97c388846e06</vt:lpwstr>
  </property>
  <property fmtid="{D5CDD505-2E9C-101B-9397-08002B2CF9AE}" pid="5" name="Department">
    <vt:lpwstr/>
  </property>
</Properties>
</file>